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7D0379" w14:textId="065DCC42" w:rsidR="00C6254B" w:rsidRPr="00062030" w:rsidRDefault="00C6254B" w:rsidP="00C6254B">
      <w:pPr>
        <w:pStyle w:val="Header"/>
        <w:keepLines/>
        <w:tabs>
          <w:tab w:val="left" w:pos="5956"/>
          <w:tab w:val="right" w:pos="10440"/>
          <w:tab w:val="right" w:pos="13323"/>
        </w:tabs>
        <w:spacing w:before="60" w:after="60"/>
        <w:rPr>
          <w:rFonts w:eastAsia="SimSun" w:cs="Arial"/>
          <w:b w:val="0"/>
          <w:sz w:val="24"/>
          <w:szCs w:val="24"/>
        </w:rPr>
      </w:pPr>
      <w:bookmarkStart w:id="0" w:name="Title"/>
      <w:bookmarkEnd w:id="0"/>
      <w:r w:rsidRPr="00062030">
        <w:rPr>
          <w:rFonts w:cs="Arial"/>
          <w:sz w:val="24"/>
          <w:szCs w:val="24"/>
        </w:rPr>
        <w:t>3GPP TSG-RAN WG4 Meeting #</w:t>
      </w:r>
      <w:r w:rsidRPr="00062030">
        <w:rPr>
          <w:rFonts w:cs="Arial"/>
        </w:rPr>
        <w:t xml:space="preserve"> </w:t>
      </w:r>
      <w:r w:rsidRPr="00062030">
        <w:rPr>
          <w:rFonts w:cs="Arial"/>
          <w:sz w:val="24"/>
          <w:szCs w:val="24"/>
        </w:rPr>
        <w:t>106bis</w:t>
      </w:r>
      <w:r w:rsidRPr="008A35F4">
        <w:rPr>
          <w:rFonts w:cs="Arial"/>
          <w:sz w:val="24"/>
          <w:szCs w:val="24"/>
        </w:rPr>
        <w:t>-</w:t>
      </w:r>
      <w:r w:rsidRPr="00062030">
        <w:rPr>
          <w:rFonts w:cs="Arial"/>
          <w:sz w:val="24"/>
          <w:szCs w:val="24"/>
        </w:rPr>
        <w:t>e</w:t>
      </w:r>
      <w:r w:rsidRPr="00062030">
        <w:rPr>
          <w:rFonts w:cs="Arial"/>
          <w:sz w:val="24"/>
          <w:szCs w:val="24"/>
        </w:rPr>
        <w:tab/>
      </w:r>
      <w:r w:rsidRPr="00062030">
        <w:rPr>
          <w:rFonts w:cs="Arial"/>
          <w:sz w:val="24"/>
          <w:szCs w:val="24"/>
        </w:rPr>
        <w:tab/>
      </w:r>
      <w:r w:rsidR="00436451" w:rsidRPr="00436451">
        <w:rPr>
          <w:rFonts w:cs="Arial"/>
          <w:sz w:val="24"/>
          <w:szCs w:val="24"/>
        </w:rPr>
        <w:t>R4-2304154</w:t>
      </w:r>
    </w:p>
    <w:p w14:paraId="45FB17BE" w14:textId="77777777" w:rsidR="00C6254B" w:rsidRPr="00062030" w:rsidRDefault="00C6254B" w:rsidP="00C6254B">
      <w:pPr>
        <w:pStyle w:val="Header"/>
        <w:tabs>
          <w:tab w:val="right" w:pos="9781"/>
          <w:tab w:val="right" w:pos="13323"/>
        </w:tabs>
        <w:spacing w:before="60" w:after="60"/>
        <w:outlineLvl w:val="0"/>
        <w:rPr>
          <w:rFonts w:eastAsia="SimSun" w:cs="Arial"/>
          <w:b w:val="0"/>
          <w:sz w:val="24"/>
          <w:szCs w:val="24"/>
        </w:rPr>
      </w:pPr>
      <w:r w:rsidRPr="00062030">
        <w:rPr>
          <w:rFonts w:eastAsia="SimSun" w:cs="Arial"/>
          <w:sz w:val="24"/>
          <w:szCs w:val="24"/>
        </w:rPr>
        <w:t>Online, April 17 – April 26, 2023</w:t>
      </w:r>
    </w:p>
    <w:p w14:paraId="155BA110" w14:textId="77777777" w:rsidR="002F499E" w:rsidRDefault="002F499E" w:rsidP="00712CC1">
      <w:pPr>
        <w:tabs>
          <w:tab w:val="left" w:pos="1985"/>
        </w:tabs>
        <w:spacing w:after="120"/>
        <w:jc w:val="both"/>
        <w:rPr>
          <w:rFonts w:ascii="Arial" w:hAnsi="Arial" w:cs="Arial"/>
          <w:b/>
          <w:sz w:val="22"/>
          <w:szCs w:val="22"/>
        </w:rPr>
      </w:pPr>
    </w:p>
    <w:p w14:paraId="038E9536" w14:textId="2B27B933"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436451">
        <w:rPr>
          <w:rFonts w:ascii="Arial" w:hAnsi="Arial" w:cs="Arial"/>
          <w:b/>
          <w:sz w:val="22"/>
          <w:szCs w:val="22"/>
        </w:rPr>
        <w:t>5.27</w:t>
      </w:r>
      <w:r w:rsidR="0012561B">
        <w:rPr>
          <w:rFonts w:ascii="Arial" w:hAnsi="Arial" w:cs="Arial"/>
          <w:b/>
          <w:sz w:val="22"/>
          <w:szCs w:val="22"/>
        </w:rPr>
        <w:t>.</w:t>
      </w:r>
      <w:r w:rsidR="0070633A">
        <w:rPr>
          <w:rFonts w:ascii="Arial" w:hAnsi="Arial" w:cs="Arial"/>
          <w:b/>
          <w:sz w:val="22"/>
          <w:szCs w:val="22"/>
        </w:rPr>
        <w:t>5</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0F925F10"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4C3D17" w:rsidRPr="004C3D17">
        <w:rPr>
          <w:rFonts w:ascii="Arial" w:hAnsi="Arial" w:cs="Arial"/>
          <w:b/>
          <w:sz w:val="22"/>
          <w:szCs w:val="22"/>
        </w:rPr>
        <w:t xml:space="preserve">RRM impacts overview for </w:t>
      </w:r>
      <w:proofErr w:type="spellStart"/>
      <w:r w:rsidR="004C3D17" w:rsidRPr="004C3D17">
        <w:rPr>
          <w:rFonts w:ascii="Arial" w:hAnsi="Arial" w:cs="Arial"/>
          <w:b/>
          <w:sz w:val="22"/>
          <w:szCs w:val="22"/>
        </w:rPr>
        <w:t>eNTN</w:t>
      </w:r>
      <w:proofErr w:type="spellEnd"/>
    </w:p>
    <w:p w14:paraId="079A707A" w14:textId="58B44DE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A74337">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06062935" w14:textId="77777777" w:rsidR="001F65D9" w:rsidRDefault="001F65D9" w:rsidP="00B06DCC">
      <w:pPr>
        <w:spacing w:after="120"/>
        <w:jc w:val="both"/>
      </w:pPr>
      <w:r>
        <w:rPr>
          <w:rFonts w:hint="eastAsia"/>
        </w:rPr>
        <w:t>In</w:t>
      </w:r>
      <w:r>
        <w:t xml:space="preserve"> RAN4#106 meeting, the RRM impacts of </w:t>
      </w:r>
      <w:proofErr w:type="spellStart"/>
      <w:r>
        <w:t>eNTN</w:t>
      </w:r>
      <w:proofErr w:type="spellEnd"/>
      <w:r>
        <w:t xml:space="preserve"> have been discussed and WF was agreed in [1]. The conclusion from last meeting is duplicated as following,</w:t>
      </w:r>
    </w:p>
    <w:tbl>
      <w:tblPr>
        <w:tblStyle w:val="TableGrid"/>
        <w:tblW w:w="0" w:type="auto"/>
        <w:tblLook w:val="04A0" w:firstRow="1" w:lastRow="0" w:firstColumn="1" w:lastColumn="0" w:noHBand="0" w:noVBand="1"/>
      </w:tblPr>
      <w:tblGrid>
        <w:gridCol w:w="9629"/>
      </w:tblGrid>
      <w:tr w:rsidR="001F65D9" w14:paraId="1646F4A6" w14:textId="77777777" w:rsidTr="001F65D9">
        <w:tc>
          <w:tcPr>
            <w:tcW w:w="9629" w:type="dxa"/>
          </w:tcPr>
          <w:p w14:paraId="43602767" w14:textId="77777777" w:rsidR="001C6634" w:rsidRPr="001C6634" w:rsidRDefault="001C6634" w:rsidP="001C6634">
            <w:pPr>
              <w:spacing w:after="0"/>
              <w:rPr>
                <w:b/>
                <w:bCs/>
                <w:sz w:val="20"/>
                <w:szCs w:val="20"/>
              </w:rPr>
            </w:pPr>
            <w:r w:rsidRPr="001C6634">
              <w:rPr>
                <w:b/>
                <w:bCs/>
                <w:sz w:val="20"/>
                <w:szCs w:val="20"/>
              </w:rPr>
              <w:t>Topic #1: Response to incoming LS on RACH-less handover in NTN</w:t>
            </w:r>
          </w:p>
          <w:p w14:paraId="5AD4753B" w14:textId="77777777" w:rsidR="001C6634" w:rsidRPr="001C6634" w:rsidRDefault="001C6634" w:rsidP="001C6634">
            <w:pPr>
              <w:spacing w:after="0"/>
              <w:outlineLvl w:val="2"/>
              <w:rPr>
                <w:b/>
                <w:sz w:val="20"/>
                <w:szCs w:val="20"/>
                <w:u w:val="single"/>
                <w:lang w:eastAsia="ko-KR"/>
              </w:rPr>
            </w:pPr>
            <w:bookmarkStart w:id="3" w:name="_Hlk119439158"/>
            <w:r w:rsidRPr="001C6634">
              <w:rPr>
                <w:b/>
                <w:sz w:val="20"/>
                <w:szCs w:val="20"/>
                <w:u w:val="single"/>
                <w:lang w:eastAsia="ko-KR"/>
              </w:rPr>
              <w:t>Issue 1-1: UL synchronization requirement specified in Table 7.1C.2-1 of TS38.133 applies to the first UL transmission in the target cell?</w:t>
            </w:r>
          </w:p>
          <w:p w14:paraId="23A237F8" w14:textId="77777777" w:rsidR="001C6634" w:rsidRPr="001C6634" w:rsidRDefault="001C6634" w:rsidP="001C6634">
            <w:pPr>
              <w:spacing w:after="0"/>
              <w:ind w:firstLine="284"/>
              <w:rPr>
                <w:b/>
                <w:bCs/>
                <w:sz w:val="20"/>
                <w:szCs w:val="20"/>
                <w:highlight w:val="green"/>
                <w:u w:val="single"/>
                <w:lang w:eastAsia="ja-JP"/>
              </w:rPr>
            </w:pPr>
            <w:r w:rsidRPr="001C6634">
              <w:rPr>
                <w:b/>
                <w:bCs/>
                <w:sz w:val="20"/>
                <w:szCs w:val="20"/>
                <w:highlight w:val="green"/>
                <w:u w:val="single"/>
                <w:lang w:eastAsia="ja-JP"/>
              </w:rPr>
              <w:t>Agreement:</w:t>
            </w:r>
          </w:p>
          <w:bookmarkEnd w:id="3"/>
          <w:p w14:paraId="2149EF46" w14:textId="77777777" w:rsidR="001C6634" w:rsidRPr="001C6634" w:rsidRDefault="001C6634" w:rsidP="001C6634">
            <w:pPr>
              <w:pStyle w:val="ListParagraph"/>
              <w:widowControl/>
              <w:numPr>
                <w:ilvl w:val="1"/>
                <w:numId w:val="45"/>
              </w:numPr>
              <w:overflowPunct w:val="0"/>
              <w:autoSpaceDE w:val="0"/>
              <w:autoSpaceDN w:val="0"/>
              <w:adjustRightInd w:val="0"/>
              <w:spacing w:after="0" w:line="240" w:lineRule="auto"/>
              <w:ind w:left="1080" w:firstLineChars="0"/>
              <w:textAlignment w:val="baseline"/>
              <w:rPr>
                <w:sz w:val="20"/>
                <w:szCs w:val="20"/>
              </w:rPr>
            </w:pPr>
            <w:r w:rsidRPr="001C6634">
              <w:rPr>
                <w:sz w:val="20"/>
                <w:szCs w:val="20"/>
              </w:rPr>
              <w:t>RAN4 to send a reply-LS to RAN1 with the following contents:</w:t>
            </w:r>
          </w:p>
          <w:p w14:paraId="2C6D2387" w14:textId="77777777" w:rsidR="001C6634" w:rsidRPr="001C6634" w:rsidRDefault="001C6634" w:rsidP="001C6634">
            <w:pPr>
              <w:pStyle w:val="ListParagraph"/>
              <w:widowControl/>
              <w:numPr>
                <w:ilvl w:val="2"/>
                <w:numId w:val="45"/>
              </w:numPr>
              <w:overflowPunct w:val="0"/>
              <w:autoSpaceDE w:val="0"/>
              <w:autoSpaceDN w:val="0"/>
              <w:adjustRightInd w:val="0"/>
              <w:spacing w:after="0" w:line="240" w:lineRule="auto"/>
              <w:ind w:left="1800" w:firstLineChars="0"/>
              <w:textAlignment w:val="baseline"/>
              <w:rPr>
                <w:sz w:val="20"/>
                <w:szCs w:val="20"/>
              </w:rPr>
            </w:pPr>
            <w:r w:rsidRPr="001C6634">
              <w:rPr>
                <w:sz w:val="20"/>
                <w:szCs w:val="20"/>
              </w:rPr>
              <w:t xml:space="preserve">For NTN-NTN FR1-FR1 handover, RAN4 to confirm that Note 1 in the LS (R1-2213001) is correct, i.e. the timing requirement specified in Table 7.1C.2-1 of TS38.133 applies to the first UL transmission, including PUCCH, PUSCH, SRS, PRACH, and </w:t>
            </w:r>
            <w:proofErr w:type="spellStart"/>
            <w:r w:rsidRPr="001C6634">
              <w:rPr>
                <w:sz w:val="20"/>
                <w:szCs w:val="20"/>
              </w:rPr>
              <w:t>msgA</w:t>
            </w:r>
            <w:proofErr w:type="spellEnd"/>
            <w:r w:rsidRPr="001C6634">
              <w:rPr>
                <w:sz w:val="20"/>
                <w:szCs w:val="20"/>
              </w:rPr>
              <w:t>, in the target cell, provided that</w:t>
            </w:r>
          </w:p>
          <w:p w14:paraId="71F8B660" w14:textId="77777777" w:rsidR="001C6634" w:rsidRPr="001C6634" w:rsidRDefault="001C6634" w:rsidP="001C6634">
            <w:pPr>
              <w:pStyle w:val="ListParagraph"/>
              <w:widowControl/>
              <w:numPr>
                <w:ilvl w:val="3"/>
                <w:numId w:val="45"/>
              </w:numPr>
              <w:overflowPunct w:val="0"/>
              <w:autoSpaceDE w:val="0"/>
              <w:autoSpaceDN w:val="0"/>
              <w:adjustRightInd w:val="0"/>
              <w:spacing w:after="0" w:line="240" w:lineRule="auto"/>
              <w:ind w:left="2520" w:firstLineChars="0"/>
              <w:textAlignment w:val="baseline"/>
              <w:rPr>
                <w:sz w:val="20"/>
                <w:szCs w:val="20"/>
              </w:rPr>
            </w:pPr>
            <w:r w:rsidRPr="001C6634">
              <w:rPr>
                <w:sz w:val="20"/>
                <w:szCs w:val="20"/>
              </w:rPr>
              <w:t xml:space="preserve">at least one SSB is available at the UE during the last 160 </w:t>
            </w:r>
            <w:proofErr w:type="spellStart"/>
            <w:r w:rsidRPr="001C6634">
              <w:rPr>
                <w:sz w:val="20"/>
                <w:szCs w:val="20"/>
              </w:rPr>
              <w:t>ms.</w:t>
            </w:r>
            <w:proofErr w:type="spellEnd"/>
          </w:p>
          <w:p w14:paraId="6D7973E3" w14:textId="77777777" w:rsidR="001C6634" w:rsidRPr="001C6634" w:rsidRDefault="001C6634" w:rsidP="001C6634">
            <w:pPr>
              <w:pStyle w:val="ListParagraph"/>
              <w:widowControl/>
              <w:numPr>
                <w:ilvl w:val="3"/>
                <w:numId w:val="45"/>
              </w:numPr>
              <w:overflowPunct w:val="0"/>
              <w:autoSpaceDE w:val="0"/>
              <w:autoSpaceDN w:val="0"/>
              <w:adjustRightInd w:val="0"/>
              <w:spacing w:after="0" w:line="240" w:lineRule="auto"/>
              <w:ind w:left="2520" w:firstLineChars="0"/>
              <w:textAlignment w:val="baseline"/>
              <w:rPr>
                <w:sz w:val="20"/>
                <w:szCs w:val="20"/>
              </w:rPr>
            </w:pPr>
            <w:r w:rsidRPr="001C6634">
              <w:rPr>
                <w:sz w:val="20"/>
                <w:szCs w:val="20"/>
              </w:rPr>
              <w:t xml:space="preserve">UE is provided with information such that the UE has valid </w:t>
            </w:r>
            <m:oMath>
              <m:sSubSup>
                <m:sSubSupPr>
                  <m:ctrlPr>
                    <w:rPr>
                      <w:rFonts w:ascii="Cambria Math" w:hAnsi="Cambria Math"/>
                      <w:sz w:val="20"/>
                      <w:szCs w:val="20"/>
                    </w:rPr>
                  </m:ctrlPr>
                </m:sSubSupPr>
                <m:e>
                  <m:r>
                    <w:rPr>
                      <w:rFonts w:ascii="Cambria Math" w:hAnsi="Cambria Math"/>
                      <w:sz w:val="20"/>
                      <w:szCs w:val="20"/>
                    </w:rPr>
                    <m:t>N</m:t>
                  </m:r>
                </m:e>
                <m:sub>
                  <m:r>
                    <m:rPr>
                      <m:nor/>
                    </m:rPr>
                    <w:rPr>
                      <w:sz w:val="20"/>
                      <w:szCs w:val="20"/>
                    </w:rPr>
                    <m:t>TA,adj</m:t>
                  </m:r>
                </m:sub>
                <m:sup>
                  <m:r>
                    <m:rPr>
                      <m:nor/>
                    </m:rPr>
                    <w:rPr>
                      <w:sz w:val="20"/>
                      <w:szCs w:val="20"/>
                    </w:rPr>
                    <m:t>common</m:t>
                  </m:r>
                </m:sup>
              </m:sSubSup>
            </m:oMath>
            <w:r w:rsidRPr="001C6634">
              <w:rPr>
                <w:sz w:val="20"/>
                <w:szCs w:val="20"/>
              </w:rPr>
              <w:t xml:space="preserve"> and </w:t>
            </w:r>
            <m:oMath>
              <m:sSubSup>
                <m:sSubSupPr>
                  <m:ctrlPr>
                    <w:rPr>
                      <w:rFonts w:ascii="Cambria Math" w:hAnsi="Cambria Math"/>
                      <w:sz w:val="20"/>
                      <w:szCs w:val="20"/>
                    </w:rPr>
                  </m:ctrlPr>
                </m:sSubSupPr>
                <m:e>
                  <m:r>
                    <w:rPr>
                      <w:rFonts w:ascii="Cambria Math" w:hAnsi="Cambria Math"/>
                      <w:sz w:val="20"/>
                      <w:szCs w:val="20"/>
                    </w:rPr>
                    <m:t>N</m:t>
                  </m:r>
                </m:e>
                <m:sub>
                  <m:r>
                    <m:rPr>
                      <m:nor/>
                    </m:rPr>
                    <w:rPr>
                      <w:sz w:val="20"/>
                      <w:szCs w:val="20"/>
                    </w:rPr>
                    <m:t>TA,adj</m:t>
                  </m:r>
                </m:sub>
                <m:sup>
                  <m:r>
                    <m:rPr>
                      <m:nor/>
                    </m:rPr>
                    <w:rPr>
                      <w:sz w:val="20"/>
                      <w:szCs w:val="20"/>
                    </w:rPr>
                    <m:t>UE</m:t>
                  </m:r>
                </m:sup>
              </m:sSubSup>
            </m:oMath>
            <w:r w:rsidRPr="001C6634">
              <w:rPr>
                <w:sz w:val="20"/>
                <w:szCs w:val="20"/>
              </w:rPr>
              <w:t xml:space="preserve"> upon handover execution.</w:t>
            </w:r>
          </w:p>
          <w:p w14:paraId="675FC4C6" w14:textId="77777777" w:rsidR="001C6634" w:rsidRPr="001C6634" w:rsidRDefault="001C6634" w:rsidP="001C6634">
            <w:pPr>
              <w:pStyle w:val="ListParagraph"/>
              <w:widowControl/>
              <w:numPr>
                <w:ilvl w:val="3"/>
                <w:numId w:val="45"/>
              </w:numPr>
              <w:overflowPunct w:val="0"/>
              <w:autoSpaceDE w:val="0"/>
              <w:autoSpaceDN w:val="0"/>
              <w:adjustRightInd w:val="0"/>
              <w:spacing w:after="0" w:line="240" w:lineRule="auto"/>
              <w:ind w:left="2520" w:firstLineChars="0"/>
              <w:textAlignment w:val="baseline"/>
              <w:rPr>
                <w:sz w:val="20"/>
                <w:szCs w:val="20"/>
              </w:rPr>
            </w:pPr>
            <w:r w:rsidRPr="001C6634">
              <w:rPr>
                <w:sz w:val="20"/>
                <w:szCs w:val="20"/>
              </w:rPr>
              <w:t>the network and UE have a common understanding of N</w:t>
            </w:r>
            <w:r w:rsidRPr="001C6634">
              <w:rPr>
                <w:sz w:val="20"/>
                <w:szCs w:val="20"/>
                <w:vertAlign w:val="subscript"/>
              </w:rPr>
              <w:t xml:space="preserve">TA </w:t>
            </w:r>
            <w:r w:rsidRPr="001C6634">
              <w:rPr>
                <w:sz w:val="20"/>
                <w:szCs w:val="20"/>
              </w:rPr>
              <w:t>component upon HO execution.</w:t>
            </w:r>
          </w:p>
          <w:p w14:paraId="600CBCC4" w14:textId="77777777" w:rsidR="001C6634" w:rsidRPr="001C6634" w:rsidRDefault="001C6634" w:rsidP="001C6634">
            <w:pPr>
              <w:pStyle w:val="ListParagraph"/>
              <w:widowControl/>
              <w:numPr>
                <w:ilvl w:val="2"/>
                <w:numId w:val="45"/>
              </w:numPr>
              <w:overflowPunct w:val="0"/>
              <w:autoSpaceDE w:val="0"/>
              <w:autoSpaceDN w:val="0"/>
              <w:adjustRightInd w:val="0"/>
              <w:spacing w:after="0" w:line="240" w:lineRule="auto"/>
              <w:ind w:left="1800" w:firstLineChars="0"/>
              <w:textAlignment w:val="baseline"/>
              <w:rPr>
                <w:sz w:val="20"/>
                <w:szCs w:val="20"/>
              </w:rPr>
            </w:pPr>
            <w:r w:rsidRPr="001C6634">
              <w:rPr>
                <w:sz w:val="20"/>
                <w:szCs w:val="20"/>
              </w:rPr>
              <w:t>RAN4 assumes the determination of the value for N</w:t>
            </w:r>
            <w:r w:rsidRPr="001C6634">
              <w:rPr>
                <w:sz w:val="20"/>
                <w:szCs w:val="20"/>
                <w:vertAlign w:val="subscript"/>
              </w:rPr>
              <w:t>TA</w:t>
            </w:r>
            <w:r w:rsidRPr="001C6634">
              <w:rPr>
                <w:sz w:val="20"/>
                <w:szCs w:val="20"/>
              </w:rPr>
              <w:t xml:space="preserve"> for the different scenarios is up to RAN1</w:t>
            </w:r>
          </w:p>
          <w:p w14:paraId="63B28710" w14:textId="77777777" w:rsidR="001C6634" w:rsidRPr="001C6634" w:rsidRDefault="001C6634" w:rsidP="001C6634">
            <w:pPr>
              <w:pStyle w:val="ListParagraph"/>
              <w:widowControl/>
              <w:numPr>
                <w:ilvl w:val="2"/>
                <w:numId w:val="45"/>
              </w:numPr>
              <w:overflowPunct w:val="0"/>
              <w:autoSpaceDE w:val="0"/>
              <w:autoSpaceDN w:val="0"/>
              <w:adjustRightInd w:val="0"/>
              <w:spacing w:after="0" w:line="240" w:lineRule="auto"/>
              <w:ind w:left="1800" w:firstLineChars="0"/>
              <w:textAlignment w:val="baseline"/>
              <w:rPr>
                <w:sz w:val="20"/>
                <w:szCs w:val="20"/>
              </w:rPr>
            </w:pPr>
            <w:r w:rsidRPr="001C6634">
              <w:rPr>
                <w:sz w:val="20"/>
                <w:szCs w:val="20"/>
              </w:rPr>
              <w:t>The timing requirement specified in Table 7.1C.2-1 of TS38.133 are applicable to FR1 only and there are no requirements for other frequency ranges</w:t>
            </w:r>
          </w:p>
          <w:p w14:paraId="52F4652D" w14:textId="77777777" w:rsidR="001C6634" w:rsidRPr="001C6634" w:rsidRDefault="001C6634" w:rsidP="001C6634">
            <w:pPr>
              <w:pStyle w:val="ListParagraph"/>
              <w:widowControl/>
              <w:numPr>
                <w:ilvl w:val="2"/>
                <w:numId w:val="45"/>
              </w:numPr>
              <w:overflowPunct w:val="0"/>
              <w:autoSpaceDE w:val="0"/>
              <w:autoSpaceDN w:val="0"/>
              <w:adjustRightInd w:val="0"/>
              <w:spacing w:after="0" w:line="240" w:lineRule="auto"/>
              <w:ind w:left="1800" w:firstLineChars="0"/>
              <w:textAlignment w:val="baseline"/>
              <w:rPr>
                <w:sz w:val="20"/>
                <w:szCs w:val="20"/>
              </w:rPr>
            </w:pPr>
            <w:r w:rsidRPr="001C6634">
              <w:rPr>
                <w:sz w:val="20"/>
                <w:szCs w:val="20"/>
              </w:rPr>
              <w:t>There are no existing RAN4 NR RRM requirements for RACH-less HO and additional RAN4 work will be required to introduce requirements and identify side conditions</w:t>
            </w:r>
          </w:p>
          <w:p w14:paraId="6D3349A9" w14:textId="77777777" w:rsidR="001C6634" w:rsidRDefault="001C6634" w:rsidP="001C6634">
            <w:pPr>
              <w:spacing w:after="0"/>
              <w:rPr>
                <w:b/>
                <w:bCs/>
                <w:sz w:val="20"/>
                <w:szCs w:val="20"/>
              </w:rPr>
            </w:pPr>
          </w:p>
          <w:p w14:paraId="3B1D60BD" w14:textId="2D3BE0FE" w:rsidR="001C6634" w:rsidRPr="001C6634" w:rsidRDefault="001C6634" w:rsidP="001C6634">
            <w:pPr>
              <w:spacing w:after="0"/>
              <w:rPr>
                <w:b/>
                <w:bCs/>
                <w:sz w:val="20"/>
                <w:szCs w:val="20"/>
              </w:rPr>
            </w:pPr>
            <w:r w:rsidRPr="001C6634">
              <w:rPr>
                <w:b/>
                <w:bCs/>
                <w:sz w:val="20"/>
                <w:szCs w:val="20"/>
              </w:rPr>
              <w:t>Topic #5: NTN-TN and NTN-NTN mobility and service continuity enhancements</w:t>
            </w:r>
          </w:p>
          <w:p w14:paraId="3255A4FE" w14:textId="77777777" w:rsidR="001C6634" w:rsidRPr="001C6634" w:rsidRDefault="001C6634" w:rsidP="001C6634">
            <w:pPr>
              <w:spacing w:after="0"/>
              <w:outlineLvl w:val="2"/>
              <w:rPr>
                <w:b/>
                <w:sz w:val="20"/>
                <w:szCs w:val="20"/>
                <w:u w:val="single"/>
                <w:lang w:eastAsia="ko-KR"/>
              </w:rPr>
            </w:pPr>
            <w:r w:rsidRPr="001C6634">
              <w:rPr>
                <w:b/>
                <w:sz w:val="20"/>
                <w:szCs w:val="20"/>
                <w:u w:val="single"/>
                <w:lang w:eastAsia="ko-KR"/>
              </w:rPr>
              <w:t>Issue 5-4: NTN-TN Handover</w:t>
            </w:r>
          </w:p>
          <w:p w14:paraId="1AA76145" w14:textId="77777777" w:rsidR="001C6634" w:rsidRPr="001C6634" w:rsidRDefault="001C6634" w:rsidP="001C6634">
            <w:pPr>
              <w:spacing w:after="0"/>
              <w:ind w:firstLine="284"/>
              <w:rPr>
                <w:b/>
                <w:bCs/>
                <w:sz w:val="20"/>
                <w:szCs w:val="20"/>
                <w:highlight w:val="green"/>
                <w:u w:val="single"/>
                <w:lang w:eastAsia="ja-JP"/>
              </w:rPr>
            </w:pPr>
            <w:r w:rsidRPr="001C6634">
              <w:rPr>
                <w:b/>
                <w:bCs/>
                <w:sz w:val="20"/>
                <w:szCs w:val="20"/>
                <w:highlight w:val="green"/>
                <w:u w:val="single"/>
                <w:lang w:eastAsia="ja-JP"/>
              </w:rPr>
              <w:t>Conclusion:</w:t>
            </w:r>
          </w:p>
          <w:p w14:paraId="224B4200" w14:textId="77777777" w:rsidR="001C6634" w:rsidRPr="001C6634" w:rsidRDefault="001C6634" w:rsidP="001C6634">
            <w:pPr>
              <w:pStyle w:val="ListParagraph"/>
              <w:widowControl/>
              <w:numPr>
                <w:ilvl w:val="0"/>
                <w:numId w:val="45"/>
              </w:numPr>
              <w:overflowPunct w:val="0"/>
              <w:autoSpaceDE w:val="0"/>
              <w:autoSpaceDN w:val="0"/>
              <w:adjustRightInd w:val="0"/>
              <w:spacing w:after="0" w:line="240" w:lineRule="auto"/>
              <w:ind w:left="644" w:firstLineChars="0"/>
              <w:textAlignment w:val="baseline"/>
              <w:rPr>
                <w:sz w:val="20"/>
                <w:szCs w:val="20"/>
                <w:lang w:eastAsia="ja-JP"/>
              </w:rPr>
            </w:pPr>
            <w:r w:rsidRPr="001C6634">
              <w:rPr>
                <w:sz w:val="20"/>
                <w:szCs w:val="20"/>
                <w:lang w:eastAsia="ja-JP"/>
              </w:rPr>
              <w:t>It is a common understanding of the group that NTN-TN handover is not in the immediate scope of Rel-18 NR NTN enhancement.</w:t>
            </w:r>
          </w:p>
          <w:p w14:paraId="3C2FBABD" w14:textId="77777777" w:rsidR="001C6634" w:rsidRPr="001C6634" w:rsidRDefault="001C6634" w:rsidP="001C6634">
            <w:pPr>
              <w:spacing w:after="0"/>
              <w:ind w:firstLine="284"/>
              <w:rPr>
                <w:b/>
                <w:bCs/>
                <w:sz w:val="20"/>
                <w:szCs w:val="20"/>
                <w:highlight w:val="green"/>
                <w:u w:val="single"/>
                <w:lang w:eastAsia="ja-JP"/>
              </w:rPr>
            </w:pPr>
            <w:r w:rsidRPr="001C6634">
              <w:rPr>
                <w:b/>
                <w:bCs/>
                <w:sz w:val="20"/>
                <w:szCs w:val="20"/>
                <w:highlight w:val="green"/>
                <w:u w:val="single"/>
                <w:lang w:eastAsia="ja-JP"/>
              </w:rPr>
              <w:t>Agreement:</w:t>
            </w:r>
          </w:p>
          <w:p w14:paraId="0E1BBC1B" w14:textId="77777777" w:rsidR="001C6634" w:rsidRPr="001C6634" w:rsidRDefault="001C6634" w:rsidP="001C6634">
            <w:pPr>
              <w:pStyle w:val="ListParagraph"/>
              <w:widowControl/>
              <w:numPr>
                <w:ilvl w:val="0"/>
                <w:numId w:val="45"/>
              </w:numPr>
              <w:overflowPunct w:val="0"/>
              <w:autoSpaceDE w:val="0"/>
              <w:autoSpaceDN w:val="0"/>
              <w:adjustRightInd w:val="0"/>
              <w:spacing w:after="0" w:line="240" w:lineRule="auto"/>
              <w:ind w:left="644" w:firstLineChars="0"/>
              <w:textAlignment w:val="baseline"/>
              <w:rPr>
                <w:sz w:val="20"/>
                <w:szCs w:val="20"/>
                <w:lang w:eastAsia="ja-JP"/>
              </w:rPr>
            </w:pPr>
            <w:r w:rsidRPr="001C6634">
              <w:rPr>
                <w:sz w:val="20"/>
                <w:szCs w:val="20"/>
                <w:lang w:eastAsia="ja-JP"/>
              </w:rPr>
              <w:t>RAN4 to not define NTN-TN handover, i.e. mobility requirements between NTN and TN are applicable only when UE is in RRC Idle/Inactive mode.</w:t>
            </w:r>
          </w:p>
          <w:p w14:paraId="590C0A4F" w14:textId="77777777" w:rsidR="001C6634" w:rsidRPr="001C6634" w:rsidRDefault="001C6634" w:rsidP="001C6634">
            <w:pPr>
              <w:widowControl w:val="0"/>
              <w:spacing w:after="0"/>
              <w:jc w:val="both"/>
              <w:rPr>
                <w:bCs/>
                <w:color w:val="0070C0"/>
                <w:sz w:val="20"/>
                <w:szCs w:val="20"/>
              </w:rPr>
            </w:pPr>
          </w:p>
          <w:p w14:paraId="3DF462E0" w14:textId="77777777" w:rsidR="001C6634" w:rsidRPr="001C6634" w:rsidRDefault="001C6634" w:rsidP="001C6634">
            <w:pPr>
              <w:spacing w:after="0"/>
              <w:rPr>
                <w:b/>
                <w:bCs/>
                <w:sz w:val="20"/>
                <w:szCs w:val="20"/>
              </w:rPr>
            </w:pPr>
            <w:r w:rsidRPr="001C6634">
              <w:rPr>
                <w:b/>
                <w:bCs/>
                <w:sz w:val="20"/>
                <w:szCs w:val="20"/>
              </w:rPr>
              <w:t>Topic #6: Applicable scope of this WI</w:t>
            </w:r>
          </w:p>
          <w:p w14:paraId="6381ED9C" w14:textId="77777777" w:rsidR="001C6634" w:rsidRPr="001C6634" w:rsidRDefault="001C6634" w:rsidP="001C6634">
            <w:pPr>
              <w:spacing w:after="0"/>
              <w:outlineLvl w:val="2"/>
              <w:rPr>
                <w:b/>
                <w:sz w:val="20"/>
                <w:szCs w:val="20"/>
                <w:u w:val="single"/>
                <w:lang w:eastAsia="ko-KR"/>
              </w:rPr>
            </w:pPr>
            <w:r w:rsidRPr="001C6634">
              <w:rPr>
                <w:b/>
                <w:sz w:val="20"/>
                <w:szCs w:val="20"/>
                <w:u w:val="single"/>
                <w:lang w:eastAsia="ko-KR"/>
              </w:rPr>
              <w:t>Issue 6-1: Applicable scope of this WI</w:t>
            </w:r>
          </w:p>
          <w:p w14:paraId="0A856965" w14:textId="77777777" w:rsidR="001C6634" w:rsidRPr="001C6634" w:rsidRDefault="001C6634" w:rsidP="001C6634">
            <w:pPr>
              <w:spacing w:after="0"/>
              <w:ind w:firstLine="284"/>
              <w:rPr>
                <w:b/>
                <w:bCs/>
                <w:sz w:val="20"/>
                <w:szCs w:val="20"/>
                <w:highlight w:val="green"/>
                <w:u w:val="single"/>
                <w:lang w:eastAsia="ja-JP"/>
              </w:rPr>
            </w:pPr>
            <w:r w:rsidRPr="001C6634">
              <w:rPr>
                <w:b/>
                <w:bCs/>
                <w:sz w:val="20"/>
                <w:szCs w:val="20"/>
                <w:highlight w:val="green"/>
                <w:u w:val="single"/>
                <w:lang w:eastAsia="ja-JP"/>
              </w:rPr>
              <w:t>Agreement:</w:t>
            </w:r>
          </w:p>
          <w:p w14:paraId="3B28F480" w14:textId="77777777" w:rsidR="001C6634" w:rsidRPr="001C6634" w:rsidRDefault="001C6634" w:rsidP="001C6634">
            <w:pPr>
              <w:pStyle w:val="ListParagraph"/>
              <w:widowControl/>
              <w:numPr>
                <w:ilvl w:val="0"/>
                <w:numId w:val="45"/>
              </w:numPr>
              <w:overflowPunct w:val="0"/>
              <w:autoSpaceDE w:val="0"/>
              <w:autoSpaceDN w:val="0"/>
              <w:adjustRightInd w:val="0"/>
              <w:spacing w:after="0" w:line="240" w:lineRule="auto"/>
              <w:ind w:left="644" w:firstLineChars="0"/>
              <w:textAlignment w:val="baseline"/>
              <w:rPr>
                <w:sz w:val="20"/>
                <w:szCs w:val="20"/>
                <w:lang w:eastAsia="ja-JP"/>
              </w:rPr>
            </w:pPr>
            <w:r w:rsidRPr="001C6634">
              <w:rPr>
                <w:sz w:val="20"/>
                <w:szCs w:val="20"/>
                <w:lang w:eastAsia="ja-JP"/>
              </w:rPr>
              <w:t>Unless any compelling reasons are identified and agreed, RRM requirements will be defined for non-CA.</w:t>
            </w:r>
          </w:p>
          <w:p w14:paraId="2D389DCE" w14:textId="77777777" w:rsidR="001C6634" w:rsidRPr="001C6634" w:rsidRDefault="001C6634" w:rsidP="001C6634">
            <w:pPr>
              <w:pStyle w:val="ListParagraph"/>
              <w:widowControl/>
              <w:numPr>
                <w:ilvl w:val="0"/>
                <w:numId w:val="45"/>
              </w:numPr>
              <w:overflowPunct w:val="0"/>
              <w:autoSpaceDE w:val="0"/>
              <w:autoSpaceDN w:val="0"/>
              <w:adjustRightInd w:val="0"/>
              <w:spacing w:after="0" w:line="240" w:lineRule="auto"/>
              <w:ind w:left="644" w:firstLineChars="0"/>
              <w:textAlignment w:val="baseline"/>
              <w:rPr>
                <w:sz w:val="20"/>
                <w:szCs w:val="20"/>
                <w:lang w:eastAsia="ja-JP"/>
              </w:rPr>
            </w:pPr>
            <w:r w:rsidRPr="001C6634">
              <w:rPr>
                <w:sz w:val="20"/>
                <w:szCs w:val="20"/>
                <w:lang w:eastAsia="ja-JP"/>
              </w:rPr>
              <w:t>The following aspects will be discussed under relevant items:</w:t>
            </w:r>
          </w:p>
          <w:p w14:paraId="3B92EE3D" w14:textId="77777777" w:rsidR="001C6634" w:rsidRPr="001C6634" w:rsidRDefault="001C6634" w:rsidP="001C6634">
            <w:pPr>
              <w:pStyle w:val="ListParagraph"/>
              <w:widowControl/>
              <w:numPr>
                <w:ilvl w:val="1"/>
                <w:numId w:val="45"/>
              </w:numPr>
              <w:overflowPunct w:val="0"/>
              <w:autoSpaceDE w:val="0"/>
              <w:autoSpaceDN w:val="0"/>
              <w:adjustRightInd w:val="0"/>
              <w:spacing w:after="0" w:line="240" w:lineRule="auto"/>
              <w:ind w:left="1364" w:firstLineChars="0"/>
              <w:textAlignment w:val="baseline"/>
              <w:rPr>
                <w:sz w:val="20"/>
                <w:szCs w:val="20"/>
                <w:lang w:eastAsia="ja-JP"/>
              </w:rPr>
            </w:pPr>
            <w:r w:rsidRPr="001C6634">
              <w:rPr>
                <w:sz w:val="20"/>
                <w:szCs w:val="20"/>
                <w:lang w:eastAsia="ja-JP"/>
              </w:rPr>
              <w:t>Whether/How to define RRM requirements for mobility between NTN and FR1/FR2 TN will be discussed under sub-AI of “NTN-TN and NTN-NTN mobility and service continuity enhancements” if needed. The discussion also includes whether TN is limited to NR or other RATs.</w:t>
            </w:r>
          </w:p>
          <w:p w14:paraId="1BEAB5A3" w14:textId="17E4B225" w:rsidR="001F65D9" w:rsidRDefault="001C6634" w:rsidP="001C6634">
            <w:pPr>
              <w:pStyle w:val="ListParagraph"/>
              <w:widowControl/>
              <w:numPr>
                <w:ilvl w:val="1"/>
                <w:numId w:val="45"/>
              </w:numPr>
              <w:overflowPunct w:val="0"/>
              <w:autoSpaceDE w:val="0"/>
              <w:autoSpaceDN w:val="0"/>
              <w:adjustRightInd w:val="0"/>
              <w:spacing w:after="0" w:line="240" w:lineRule="auto"/>
              <w:ind w:left="1364" w:firstLineChars="0"/>
              <w:textAlignment w:val="baseline"/>
              <w:rPr>
                <w:lang w:eastAsia="ja-JP"/>
              </w:rPr>
            </w:pPr>
            <w:r w:rsidRPr="001C6634">
              <w:rPr>
                <w:sz w:val="20"/>
                <w:szCs w:val="20"/>
                <w:lang w:eastAsia="ja-JP"/>
              </w:rPr>
              <w:t>Whether/How to define RRM requirements for mobility within NTN-Ka bands and between FR1/FR2 and NTN-Ka bands will be discussed under sub-AI of “NR-NTN deployment in above 10 GHz bands”</w:t>
            </w:r>
          </w:p>
        </w:tc>
      </w:tr>
    </w:tbl>
    <w:p w14:paraId="5E699022" w14:textId="77777777" w:rsidR="001F65D9" w:rsidRDefault="001F65D9" w:rsidP="00B06DCC">
      <w:pPr>
        <w:spacing w:after="120"/>
        <w:jc w:val="both"/>
      </w:pPr>
    </w:p>
    <w:p w14:paraId="457FA5A6" w14:textId="3532DD73" w:rsidR="00A74337" w:rsidRDefault="0012561B" w:rsidP="00B06DCC">
      <w:pPr>
        <w:spacing w:after="120"/>
        <w:jc w:val="both"/>
      </w:pPr>
      <w:r>
        <w:lastRenderedPageBreak/>
        <w:t xml:space="preserve">In this contribution we </w:t>
      </w:r>
      <w:r w:rsidR="001C6634">
        <w:t xml:space="preserve">continue the </w:t>
      </w:r>
      <w:r>
        <w:t>discuss</w:t>
      </w:r>
      <w:r w:rsidR="001C6634">
        <w:t>ion about</w:t>
      </w:r>
      <w:r>
        <w:t xml:space="preserve"> the impact on RRM for the </w:t>
      </w:r>
      <w:proofErr w:type="spellStart"/>
      <w:r w:rsidR="00E15407">
        <w:t>eNTN</w:t>
      </w:r>
      <w:proofErr w:type="spellEnd"/>
      <w:r>
        <w:t xml:space="preserve"> UE</w:t>
      </w:r>
      <w:r w:rsidR="001C6634">
        <w:t xml:space="preserve"> as well as the new RACH-less HO requirement for </w:t>
      </w:r>
      <w:proofErr w:type="spellStart"/>
      <w:r w:rsidR="001C6634">
        <w:t>eNTN</w:t>
      </w:r>
      <w:proofErr w:type="spellEnd"/>
      <w:r>
        <w:t>.</w:t>
      </w:r>
    </w:p>
    <w:p w14:paraId="7ADE0A8D" w14:textId="5530CD71" w:rsidR="003D5E81" w:rsidRPr="009856BA" w:rsidRDefault="00F63A1B" w:rsidP="003D5E81">
      <w:pPr>
        <w:pStyle w:val="Heading1"/>
        <w:numPr>
          <w:ilvl w:val="0"/>
          <w:numId w:val="10"/>
        </w:numPr>
        <w:pBdr>
          <w:top w:val="single" w:sz="12" w:space="2" w:color="auto"/>
        </w:pBdr>
        <w:jc w:val="both"/>
        <w:rPr>
          <w:sz w:val="32"/>
        </w:rPr>
      </w:pPr>
      <w:r>
        <w:rPr>
          <w:sz w:val="32"/>
        </w:rPr>
        <w:t>Discussion</w:t>
      </w:r>
      <w:r w:rsidR="00FC61B8">
        <w:rPr>
          <w:sz w:val="32"/>
        </w:rPr>
        <w:t xml:space="preserve"> </w:t>
      </w:r>
      <w:r w:rsidR="009C7526">
        <w:rPr>
          <w:sz w:val="32"/>
        </w:rPr>
        <w:t xml:space="preserve">on </w:t>
      </w:r>
      <w:proofErr w:type="spellStart"/>
      <w:r w:rsidR="006E485F">
        <w:rPr>
          <w:rFonts w:hint="eastAsia"/>
          <w:sz w:val="32"/>
        </w:rPr>
        <w:t>eNTN</w:t>
      </w:r>
      <w:proofErr w:type="spellEnd"/>
      <w:r w:rsidR="006E485F">
        <w:rPr>
          <w:sz w:val="32"/>
        </w:rPr>
        <w:t xml:space="preserve"> </w:t>
      </w:r>
      <w:r w:rsidR="009C7526">
        <w:rPr>
          <w:sz w:val="32"/>
        </w:rPr>
        <w:t>RRM</w:t>
      </w:r>
    </w:p>
    <w:p w14:paraId="1A58F8D2" w14:textId="041A512D" w:rsidR="000D52FA" w:rsidRDefault="000D52FA" w:rsidP="000D52FA">
      <w:pPr>
        <w:spacing w:after="180"/>
        <w:rPr>
          <w:lang w:eastAsia="x-none"/>
        </w:rPr>
      </w:pPr>
      <w:r w:rsidRPr="00EB259E">
        <w:rPr>
          <w:rFonts w:hint="eastAsia"/>
          <w:lang w:eastAsia="x-none"/>
        </w:rPr>
        <w:t>The</w:t>
      </w:r>
      <w:r w:rsidRPr="00EB259E">
        <w:rPr>
          <w:lang w:eastAsia="x-none"/>
        </w:rPr>
        <w:t xml:space="preserve"> </w:t>
      </w:r>
      <w:r w:rsidR="009C7526">
        <w:rPr>
          <w:lang w:eastAsia="x-none"/>
        </w:rPr>
        <w:t xml:space="preserve">objectives in the </w:t>
      </w:r>
      <w:proofErr w:type="gramStart"/>
      <w:r w:rsidR="009C7526">
        <w:rPr>
          <w:lang w:eastAsia="x-none"/>
        </w:rPr>
        <w:t>WID[</w:t>
      </w:r>
      <w:proofErr w:type="gramEnd"/>
      <w:r w:rsidR="009C7526">
        <w:rPr>
          <w:lang w:eastAsia="x-none"/>
        </w:rPr>
        <w:t>1] are as followings</w:t>
      </w:r>
      <w:r w:rsidRPr="00EB259E">
        <w:rPr>
          <w:lang w:eastAsia="x-none"/>
        </w:rPr>
        <w:t>:</w:t>
      </w:r>
    </w:p>
    <w:tbl>
      <w:tblPr>
        <w:tblStyle w:val="TableGrid"/>
        <w:tblW w:w="0" w:type="auto"/>
        <w:tblLook w:val="04A0" w:firstRow="1" w:lastRow="0" w:firstColumn="1" w:lastColumn="0" w:noHBand="0" w:noVBand="1"/>
      </w:tblPr>
      <w:tblGrid>
        <w:gridCol w:w="9629"/>
      </w:tblGrid>
      <w:tr w:rsidR="000D52FA" w14:paraId="5D26DB19" w14:textId="77777777" w:rsidTr="00E7499F">
        <w:tc>
          <w:tcPr>
            <w:tcW w:w="9629" w:type="dxa"/>
          </w:tcPr>
          <w:p w14:paraId="7BB850AF" w14:textId="77777777" w:rsidR="00DD44AA" w:rsidRPr="00134B7D" w:rsidRDefault="00DD44AA" w:rsidP="00DD44AA">
            <w:pPr>
              <w:spacing w:after="0"/>
              <w:rPr>
                <w:bCs/>
              </w:rPr>
            </w:pPr>
            <w:r w:rsidRPr="00134B7D">
              <w:rPr>
                <w:bCs/>
              </w:rPr>
              <w:t>4.1.1</w:t>
            </w:r>
            <w:r w:rsidRPr="00134B7D">
              <w:rPr>
                <w:bCs/>
              </w:rPr>
              <w:tab/>
              <w:t>Coverage enhancement</w:t>
            </w:r>
          </w:p>
          <w:p w14:paraId="170281DD" w14:textId="77777777" w:rsidR="00DD44AA" w:rsidRPr="00134B7D" w:rsidRDefault="00DD44AA" w:rsidP="00DD44AA">
            <w:pPr>
              <w:spacing w:after="0"/>
              <w:rPr>
                <w:bCs/>
              </w:rPr>
            </w:pPr>
            <w:r w:rsidRPr="00134B7D">
              <w:rPr>
                <w:bCs/>
              </w:rPr>
              <w:t>4.1.2</w:t>
            </w:r>
            <w:r w:rsidRPr="00134B7D">
              <w:rPr>
                <w:bCs/>
              </w:rPr>
              <w:tab/>
              <w:t>NR-NTN deployment in above 10 GHz bands</w:t>
            </w:r>
          </w:p>
          <w:p w14:paraId="004F1E5F" w14:textId="77777777" w:rsidR="00DD44AA" w:rsidRPr="00134B7D" w:rsidRDefault="00DD44AA" w:rsidP="00DD44AA">
            <w:pPr>
              <w:spacing w:after="0"/>
              <w:rPr>
                <w:bCs/>
              </w:rPr>
            </w:pPr>
            <w:r w:rsidRPr="00134B7D">
              <w:rPr>
                <w:bCs/>
              </w:rPr>
              <w:t>4.1.3</w:t>
            </w:r>
            <w:r w:rsidRPr="00134B7D">
              <w:rPr>
                <w:bCs/>
              </w:rPr>
              <w:tab/>
              <w:t xml:space="preserve">Network verified UE </w:t>
            </w:r>
            <w:proofErr w:type="gramStart"/>
            <w:r w:rsidRPr="00134B7D">
              <w:rPr>
                <w:bCs/>
              </w:rPr>
              <w:t>location</w:t>
            </w:r>
            <w:proofErr w:type="gramEnd"/>
          </w:p>
          <w:p w14:paraId="5998FCCB" w14:textId="61BF4979" w:rsidR="000D52FA" w:rsidRPr="00DD44AA" w:rsidRDefault="00DD44AA" w:rsidP="00DD44AA">
            <w:pPr>
              <w:spacing w:after="0"/>
              <w:rPr>
                <w:bCs/>
              </w:rPr>
            </w:pPr>
            <w:r w:rsidRPr="00134B7D">
              <w:rPr>
                <w:bCs/>
              </w:rPr>
              <w:t>4.1.4</w:t>
            </w:r>
            <w:r w:rsidRPr="00134B7D">
              <w:rPr>
                <w:bCs/>
              </w:rPr>
              <w:tab/>
              <w:t>NTN-TN and NTN-NTN mobility and service continuity enhancements</w:t>
            </w:r>
          </w:p>
        </w:tc>
      </w:tr>
    </w:tbl>
    <w:p w14:paraId="74CADB19" w14:textId="77777777" w:rsidR="000D52FA" w:rsidRDefault="000D52FA" w:rsidP="000D52FA">
      <w:pPr>
        <w:jc w:val="both"/>
        <w:rPr>
          <w:b/>
          <w:bCs/>
          <w:i/>
          <w:iCs/>
          <w:lang w:eastAsia="ko-KR"/>
        </w:rPr>
      </w:pPr>
    </w:p>
    <w:p w14:paraId="7D81C6C1" w14:textId="313A5303" w:rsidR="00DD44AA" w:rsidRDefault="00DD44AA" w:rsidP="00893F0E">
      <w:pPr>
        <w:spacing w:after="180"/>
        <w:jc w:val="both"/>
        <w:rPr>
          <w:lang w:val="en-GB" w:eastAsia="x-none"/>
        </w:rPr>
      </w:pPr>
      <w:r>
        <w:rPr>
          <w:lang w:val="en-GB" w:eastAsia="x-none"/>
        </w:rPr>
        <w:t xml:space="preserve">The main bullets to impact RAN4 RRM </w:t>
      </w:r>
      <w:proofErr w:type="gramStart"/>
      <w:r>
        <w:rPr>
          <w:lang w:val="en-GB" w:eastAsia="x-none"/>
        </w:rPr>
        <w:t>is</w:t>
      </w:r>
      <w:proofErr w:type="gramEnd"/>
      <w:r>
        <w:rPr>
          <w:lang w:val="en-GB" w:eastAsia="x-none"/>
        </w:rPr>
        <w:t xml:space="preserve"> the 4.1.2 and 4.1.4. Regarding the “</w:t>
      </w:r>
      <w:r w:rsidRPr="00134B7D">
        <w:rPr>
          <w:bCs/>
        </w:rPr>
        <w:t>NR-NTN deployment in above 10 GHz bands</w:t>
      </w:r>
      <w:r>
        <w:rPr>
          <w:lang w:val="en-GB" w:eastAsia="x-none"/>
        </w:rPr>
        <w:t xml:space="preserve">”, </w:t>
      </w:r>
      <w:r w:rsidR="001C6634">
        <w:rPr>
          <w:lang w:val="en-GB" w:eastAsia="x-none"/>
        </w:rPr>
        <w:t>some agreements from RF session in RAN4#106 meeting</w:t>
      </w:r>
      <w:r>
        <w:rPr>
          <w:lang w:val="en-GB" w:eastAsia="x-none"/>
        </w:rPr>
        <w:t xml:space="preserve"> </w:t>
      </w:r>
      <w:r w:rsidR="001C6634">
        <w:rPr>
          <w:lang w:val="en-GB" w:eastAsia="x-none"/>
        </w:rPr>
        <w:t>were</w:t>
      </w:r>
      <w:r>
        <w:rPr>
          <w:lang w:val="en-GB" w:eastAsia="x-none"/>
        </w:rPr>
        <w:t>:</w:t>
      </w:r>
    </w:p>
    <w:tbl>
      <w:tblPr>
        <w:tblStyle w:val="TableGrid"/>
        <w:tblW w:w="0" w:type="auto"/>
        <w:tblLook w:val="04A0" w:firstRow="1" w:lastRow="0" w:firstColumn="1" w:lastColumn="0" w:noHBand="0" w:noVBand="1"/>
      </w:tblPr>
      <w:tblGrid>
        <w:gridCol w:w="9629"/>
      </w:tblGrid>
      <w:tr w:rsidR="00DD44AA" w14:paraId="545E6DBF" w14:textId="77777777" w:rsidTr="00DD44AA">
        <w:tc>
          <w:tcPr>
            <w:tcW w:w="9629" w:type="dxa"/>
          </w:tcPr>
          <w:p w14:paraId="2B6803C7" w14:textId="12EC7E70" w:rsidR="00092D2C" w:rsidRPr="00092D2C" w:rsidRDefault="00092D2C" w:rsidP="00092D2C">
            <w:pPr>
              <w:rPr>
                <w:b/>
                <w:bCs/>
                <w:iCs/>
                <w:sz w:val="20"/>
                <w:szCs w:val="20"/>
              </w:rPr>
            </w:pPr>
            <w:r w:rsidRPr="00092D2C">
              <w:rPr>
                <w:rFonts w:hint="eastAsia"/>
                <w:b/>
                <w:bCs/>
                <w:iCs/>
                <w:sz w:val="20"/>
                <w:szCs w:val="20"/>
              </w:rPr>
              <w:t>Issue 3-1: conductive or radiated RF requirement for NTN UE</w:t>
            </w:r>
            <w:r w:rsidRPr="00092D2C">
              <w:rPr>
                <w:b/>
                <w:bCs/>
                <w:iCs/>
                <w:sz w:val="20"/>
                <w:szCs w:val="20"/>
              </w:rPr>
              <w:t xml:space="preserve"> [2]</w:t>
            </w:r>
          </w:p>
          <w:p w14:paraId="5065A1F0" w14:textId="77777777" w:rsidR="00092D2C" w:rsidRPr="00092D2C" w:rsidRDefault="00092D2C" w:rsidP="00092D2C">
            <w:pPr>
              <w:rPr>
                <w:b/>
                <w:bCs/>
                <w:iCs/>
                <w:sz w:val="20"/>
                <w:szCs w:val="20"/>
              </w:rPr>
            </w:pPr>
            <w:r w:rsidRPr="00092D2C">
              <w:rPr>
                <w:rFonts w:hint="eastAsia"/>
                <w:b/>
                <w:bCs/>
                <w:iCs/>
                <w:sz w:val="20"/>
                <w:szCs w:val="20"/>
              </w:rPr>
              <w:t xml:space="preserve">Agreement: </w:t>
            </w:r>
          </w:p>
          <w:p w14:paraId="222E72D0" w14:textId="6F8D3BEC" w:rsidR="00092D2C" w:rsidRPr="00092D2C" w:rsidRDefault="00092D2C" w:rsidP="00092D2C">
            <w:pPr>
              <w:pStyle w:val="ListParagraph"/>
              <w:widowControl/>
              <w:numPr>
                <w:ilvl w:val="0"/>
                <w:numId w:val="46"/>
              </w:numPr>
              <w:spacing w:after="0" w:line="240" w:lineRule="auto"/>
              <w:ind w:firstLine="400"/>
              <w:rPr>
                <w:bCs/>
                <w:iCs/>
                <w:sz w:val="20"/>
                <w:szCs w:val="20"/>
                <w:highlight w:val="green"/>
              </w:rPr>
            </w:pPr>
            <w:r w:rsidRPr="00092D2C">
              <w:rPr>
                <w:bCs/>
                <w:iCs/>
                <w:sz w:val="20"/>
                <w:szCs w:val="20"/>
                <w:highlight w:val="green"/>
              </w:rPr>
              <w:t>Define the radiated requirement as the first priority.</w:t>
            </w:r>
          </w:p>
          <w:p w14:paraId="0A40A031" w14:textId="7643CD78" w:rsidR="00092D2C" w:rsidRPr="00092D2C" w:rsidRDefault="00092D2C" w:rsidP="00092D2C">
            <w:pPr>
              <w:spacing w:after="0"/>
              <w:rPr>
                <w:b/>
                <w:sz w:val="20"/>
                <w:szCs w:val="20"/>
              </w:rPr>
            </w:pPr>
            <w:r w:rsidRPr="00092D2C">
              <w:rPr>
                <w:b/>
                <w:sz w:val="20"/>
                <w:szCs w:val="20"/>
              </w:rPr>
              <w:t xml:space="preserve">Issue 1-1-1: Above 10 GHz NTN band definition [3] </w:t>
            </w:r>
            <w:r w:rsidRPr="00092D2C">
              <w:rPr>
                <w:sz w:val="20"/>
                <w:szCs w:val="20"/>
              </w:rPr>
              <w:t>(updated during ad-hoc meeting 18h00-19h00 on 4th Day)</w:t>
            </w:r>
          </w:p>
          <w:p w14:paraId="6C4E3444" w14:textId="77777777" w:rsidR="00092D2C" w:rsidRPr="00092D2C" w:rsidRDefault="00092D2C" w:rsidP="00092D2C">
            <w:pPr>
              <w:spacing w:after="0"/>
              <w:rPr>
                <w:sz w:val="20"/>
                <w:szCs w:val="20"/>
              </w:rPr>
            </w:pPr>
            <w:r w:rsidRPr="00092D2C">
              <w:rPr>
                <w:sz w:val="20"/>
                <w:szCs w:val="20"/>
              </w:rPr>
              <w:t>Agreement:</w:t>
            </w:r>
          </w:p>
          <w:p w14:paraId="0F3804F3" w14:textId="77777777" w:rsidR="00092D2C" w:rsidRPr="00092D2C" w:rsidRDefault="00092D2C" w:rsidP="00092D2C">
            <w:pPr>
              <w:spacing w:after="0"/>
              <w:rPr>
                <w:sz w:val="20"/>
                <w:szCs w:val="20"/>
              </w:rPr>
            </w:pPr>
            <w:r w:rsidRPr="00092D2C">
              <w:rPr>
                <w:sz w:val="20"/>
                <w:szCs w:val="20"/>
              </w:rPr>
              <w:t>The following bands and frequency ranges were agreed, without square bracket.  Note that the DL lower frequency range was modified from 17.7 to 17.3 to reflect regional regulations.</w:t>
            </w:r>
          </w:p>
          <w:tbl>
            <w:tblPr>
              <w:tblStyle w:val="TableGrid"/>
              <w:tblW w:w="5000" w:type="pct"/>
              <w:tblLook w:val="04A0" w:firstRow="1" w:lastRow="0" w:firstColumn="1" w:lastColumn="0" w:noHBand="0" w:noVBand="1"/>
            </w:tblPr>
            <w:tblGrid>
              <w:gridCol w:w="2175"/>
              <w:gridCol w:w="3410"/>
              <w:gridCol w:w="3818"/>
            </w:tblGrid>
            <w:tr w:rsidR="00092D2C" w:rsidRPr="00092D2C" w14:paraId="24F2D84C" w14:textId="77777777" w:rsidTr="00F0674E">
              <w:tc>
                <w:tcPr>
                  <w:tcW w:w="1157" w:type="pct"/>
                  <w:vAlign w:val="center"/>
                </w:tcPr>
                <w:p w14:paraId="732295A6" w14:textId="77777777" w:rsidR="00092D2C" w:rsidRPr="00092D2C" w:rsidRDefault="00092D2C" w:rsidP="00092D2C">
                  <w:pPr>
                    <w:spacing w:after="0"/>
                    <w:jc w:val="center"/>
                    <w:rPr>
                      <w:b/>
                      <w:bCs/>
                      <w:sz w:val="20"/>
                      <w:szCs w:val="20"/>
                      <w:lang w:val="sv-SE"/>
                    </w:rPr>
                  </w:pPr>
                  <w:r w:rsidRPr="00092D2C">
                    <w:rPr>
                      <w:b/>
                      <w:bCs/>
                      <w:sz w:val="20"/>
                      <w:szCs w:val="20"/>
                      <w:lang w:val="sv-SE"/>
                    </w:rPr>
                    <w:t>NTN operating band</w:t>
                  </w:r>
                </w:p>
              </w:tc>
              <w:tc>
                <w:tcPr>
                  <w:tcW w:w="1813" w:type="pct"/>
                  <w:vAlign w:val="center"/>
                </w:tcPr>
                <w:p w14:paraId="10D3E410" w14:textId="77777777" w:rsidR="00092D2C" w:rsidRPr="00092D2C" w:rsidRDefault="00092D2C" w:rsidP="00092D2C">
                  <w:pPr>
                    <w:spacing w:after="0"/>
                    <w:jc w:val="center"/>
                    <w:rPr>
                      <w:b/>
                      <w:bCs/>
                      <w:sz w:val="20"/>
                      <w:szCs w:val="20"/>
                      <w:lang w:val="sv-SE"/>
                    </w:rPr>
                  </w:pPr>
                  <w:r w:rsidRPr="00092D2C">
                    <w:rPr>
                      <w:b/>
                      <w:bCs/>
                      <w:sz w:val="20"/>
                      <w:szCs w:val="20"/>
                      <w:lang w:val="sv-SE"/>
                    </w:rPr>
                    <w:t>UL</w:t>
                  </w:r>
                </w:p>
                <w:p w14:paraId="2BE0FCE0" w14:textId="77777777" w:rsidR="00092D2C" w:rsidRPr="00092D2C" w:rsidRDefault="00092D2C" w:rsidP="00092D2C">
                  <w:pPr>
                    <w:spacing w:after="0"/>
                    <w:jc w:val="center"/>
                    <w:rPr>
                      <w:b/>
                      <w:bCs/>
                      <w:sz w:val="20"/>
                      <w:szCs w:val="20"/>
                      <w:lang w:val="sv-SE"/>
                    </w:rPr>
                  </w:pPr>
                  <w:r w:rsidRPr="00092D2C">
                    <w:rPr>
                      <w:b/>
                      <w:bCs/>
                      <w:sz w:val="20"/>
                      <w:szCs w:val="20"/>
                      <w:lang w:val="sv-SE"/>
                    </w:rPr>
                    <w:t>Earth-to-Space</w:t>
                  </w:r>
                </w:p>
              </w:tc>
              <w:tc>
                <w:tcPr>
                  <w:tcW w:w="2030" w:type="pct"/>
                  <w:vAlign w:val="center"/>
                </w:tcPr>
                <w:p w14:paraId="7151E6A7" w14:textId="77777777" w:rsidR="00092D2C" w:rsidRPr="00092D2C" w:rsidRDefault="00092D2C" w:rsidP="00092D2C">
                  <w:pPr>
                    <w:spacing w:after="0"/>
                    <w:jc w:val="center"/>
                    <w:rPr>
                      <w:b/>
                      <w:bCs/>
                      <w:sz w:val="20"/>
                      <w:szCs w:val="20"/>
                      <w:lang w:val="sv-SE"/>
                    </w:rPr>
                  </w:pPr>
                  <w:r w:rsidRPr="00092D2C">
                    <w:rPr>
                      <w:b/>
                      <w:bCs/>
                      <w:sz w:val="20"/>
                      <w:szCs w:val="20"/>
                      <w:lang w:val="sv-SE"/>
                    </w:rPr>
                    <w:t>DL</w:t>
                  </w:r>
                </w:p>
                <w:p w14:paraId="6E0A873B" w14:textId="77777777" w:rsidR="00092D2C" w:rsidRPr="00092D2C" w:rsidRDefault="00092D2C" w:rsidP="00092D2C">
                  <w:pPr>
                    <w:spacing w:after="0"/>
                    <w:jc w:val="center"/>
                    <w:rPr>
                      <w:b/>
                      <w:bCs/>
                      <w:sz w:val="20"/>
                      <w:szCs w:val="20"/>
                      <w:lang w:val="sv-SE"/>
                    </w:rPr>
                  </w:pPr>
                  <w:r w:rsidRPr="00092D2C">
                    <w:rPr>
                      <w:b/>
                      <w:bCs/>
                      <w:sz w:val="20"/>
                      <w:szCs w:val="20"/>
                      <w:lang w:val="sv-SE"/>
                    </w:rPr>
                    <w:t>Space-to-Earth</w:t>
                  </w:r>
                </w:p>
              </w:tc>
            </w:tr>
            <w:tr w:rsidR="00092D2C" w:rsidRPr="00092D2C" w14:paraId="62472220" w14:textId="77777777" w:rsidTr="00F0674E">
              <w:tc>
                <w:tcPr>
                  <w:tcW w:w="1157" w:type="pct"/>
                  <w:vAlign w:val="center"/>
                </w:tcPr>
                <w:p w14:paraId="1360AAD0" w14:textId="77777777" w:rsidR="00092D2C" w:rsidRPr="00092D2C" w:rsidRDefault="00092D2C" w:rsidP="00092D2C">
                  <w:pPr>
                    <w:spacing w:after="0"/>
                    <w:jc w:val="center"/>
                    <w:rPr>
                      <w:sz w:val="20"/>
                      <w:szCs w:val="20"/>
                      <w:lang w:val="sv-SE"/>
                    </w:rPr>
                  </w:pPr>
                  <w:r w:rsidRPr="00092D2C">
                    <w:rPr>
                      <w:sz w:val="20"/>
                      <w:szCs w:val="20"/>
                      <w:lang w:val="sv-SE"/>
                    </w:rPr>
                    <w:t>n512</w:t>
                  </w:r>
                  <w:r w:rsidRPr="00092D2C">
                    <w:rPr>
                      <w:sz w:val="20"/>
                      <w:szCs w:val="20"/>
                      <w:vertAlign w:val="superscript"/>
                      <w:lang w:val="sv-SE"/>
                    </w:rPr>
                    <w:t>1</w:t>
                  </w:r>
                </w:p>
              </w:tc>
              <w:tc>
                <w:tcPr>
                  <w:tcW w:w="1813" w:type="pct"/>
                  <w:vAlign w:val="center"/>
                </w:tcPr>
                <w:p w14:paraId="7E85A0CF" w14:textId="77777777" w:rsidR="00092D2C" w:rsidRPr="00092D2C" w:rsidRDefault="00092D2C" w:rsidP="00092D2C">
                  <w:pPr>
                    <w:spacing w:after="0"/>
                    <w:jc w:val="center"/>
                    <w:rPr>
                      <w:sz w:val="20"/>
                      <w:szCs w:val="20"/>
                      <w:lang w:val="sv-SE"/>
                    </w:rPr>
                  </w:pPr>
                  <w:r w:rsidRPr="00092D2C">
                    <w:rPr>
                      <w:sz w:val="20"/>
                      <w:szCs w:val="20"/>
                      <w:lang w:val="sv-SE"/>
                    </w:rPr>
                    <w:t>27.5 - 30.0 GHz</w:t>
                  </w:r>
                </w:p>
              </w:tc>
              <w:tc>
                <w:tcPr>
                  <w:tcW w:w="2030" w:type="pct"/>
                  <w:vAlign w:val="center"/>
                </w:tcPr>
                <w:p w14:paraId="67772EB1" w14:textId="77777777" w:rsidR="00092D2C" w:rsidRPr="00092D2C" w:rsidRDefault="00092D2C" w:rsidP="00092D2C">
                  <w:pPr>
                    <w:spacing w:after="0"/>
                    <w:jc w:val="center"/>
                    <w:rPr>
                      <w:sz w:val="20"/>
                      <w:szCs w:val="20"/>
                      <w:lang w:val="sv-SE"/>
                    </w:rPr>
                  </w:pPr>
                  <w:r w:rsidRPr="00092D2C">
                    <w:rPr>
                      <w:sz w:val="20"/>
                      <w:szCs w:val="20"/>
                      <w:lang w:val="sv-SE"/>
                    </w:rPr>
                    <w:t>17.3 - 20.2 GHz</w:t>
                  </w:r>
                </w:p>
              </w:tc>
            </w:tr>
            <w:tr w:rsidR="00092D2C" w:rsidRPr="00092D2C" w14:paraId="514C7921" w14:textId="77777777" w:rsidTr="00F0674E">
              <w:tc>
                <w:tcPr>
                  <w:tcW w:w="1157" w:type="pct"/>
                  <w:vAlign w:val="center"/>
                </w:tcPr>
                <w:p w14:paraId="5DF5200E" w14:textId="77777777" w:rsidR="00092D2C" w:rsidRPr="00092D2C" w:rsidRDefault="00092D2C" w:rsidP="00092D2C">
                  <w:pPr>
                    <w:spacing w:after="0"/>
                    <w:jc w:val="center"/>
                    <w:rPr>
                      <w:sz w:val="20"/>
                      <w:szCs w:val="20"/>
                      <w:lang w:val="sv-SE"/>
                    </w:rPr>
                  </w:pPr>
                  <w:r w:rsidRPr="00092D2C">
                    <w:rPr>
                      <w:sz w:val="20"/>
                      <w:szCs w:val="20"/>
                      <w:lang w:val="sv-SE"/>
                    </w:rPr>
                    <w:t>n511</w:t>
                  </w:r>
                  <w:r w:rsidRPr="00092D2C">
                    <w:rPr>
                      <w:sz w:val="20"/>
                      <w:szCs w:val="20"/>
                      <w:vertAlign w:val="superscript"/>
                      <w:lang w:val="sv-SE"/>
                    </w:rPr>
                    <w:t>2</w:t>
                  </w:r>
                </w:p>
              </w:tc>
              <w:tc>
                <w:tcPr>
                  <w:tcW w:w="1813" w:type="pct"/>
                  <w:vAlign w:val="center"/>
                </w:tcPr>
                <w:p w14:paraId="1FDBB1A6" w14:textId="77777777" w:rsidR="00092D2C" w:rsidRPr="00092D2C" w:rsidRDefault="00092D2C" w:rsidP="00092D2C">
                  <w:pPr>
                    <w:spacing w:after="0"/>
                    <w:jc w:val="center"/>
                    <w:rPr>
                      <w:sz w:val="20"/>
                      <w:szCs w:val="20"/>
                      <w:lang w:val="sv-SE"/>
                    </w:rPr>
                  </w:pPr>
                  <w:r w:rsidRPr="00092D2C">
                    <w:rPr>
                      <w:sz w:val="20"/>
                      <w:szCs w:val="20"/>
                      <w:lang w:val="sv-SE"/>
                    </w:rPr>
                    <w:t>28.35 - 30.0 GHz</w:t>
                  </w:r>
                </w:p>
              </w:tc>
              <w:tc>
                <w:tcPr>
                  <w:tcW w:w="2030" w:type="pct"/>
                  <w:vAlign w:val="center"/>
                </w:tcPr>
                <w:p w14:paraId="4A3AEABF" w14:textId="77777777" w:rsidR="00092D2C" w:rsidRPr="00092D2C" w:rsidRDefault="00092D2C" w:rsidP="00092D2C">
                  <w:pPr>
                    <w:spacing w:after="0"/>
                    <w:jc w:val="center"/>
                    <w:rPr>
                      <w:sz w:val="20"/>
                      <w:szCs w:val="20"/>
                      <w:lang w:val="sv-SE"/>
                    </w:rPr>
                  </w:pPr>
                  <w:r w:rsidRPr="00092D2C">
                    <w:rPr>
                      <w:sz w:val="20"/>
                      <w:szCs w:val="20"/>
                      <w:lang w:val="sv-SE"/>
                    </w:rPr>
                    <w:t>17.3 - 20.2 GHz</w:t>
                  </w:r>
                </w:p>
              </w:tc>
            </w:tr>
            <w:tr w:rsidR="00092D2C" w:rsidRPr="00092D2C" w14:paraId="00049098" w14:textId="77777777" w:rsidTr="00F0674E">
              <w:tc>
                <w:tcPr>
                  <w:tcW w:w="1157" w:type="pct"/>
                  <w:vAlign w:val="center"/>
                </w:tcPr>
                <w:p w14:paraId="7DCFB55C" w14:textId="77777777" w:rsidR="00092D2C" w:rsidRPr="00092D2C" w:rsidRDefault="00092D2C" w:rsidP="00092D2C">
                  <w:pPr>
                    <w:spacing w:after="0"/>
                    <w:jc w:val="center"/>
                    <w:rPr>
                      <w:sz w:val="20"/>
                      <w:szCs w:val="20"/>
                      <w:lang w:val="sv-SE"/>
                    </w:rPr>
                  </w:pPr>
                  <w:r w:rsidRPr="00092D2C">
                    <w:rPr>
                      <w:sz w:val="20"/>
                      <w:szCs w:val="20"/>
                      <w:lang w:val="sv-SE"/>
                    </w:rPr>
                    <w:t>n510</w:t>
                  </w:r>
                  <w:r w:rsidRPr="00092D2C">
                    <w:rPr>
                      <w:sz w:val="20"/>
                      <w:szCs w:val="20"/>
                      <w:vertAlign w:val="superscript"/>
                      <w:lang w:val="sv-SE"/>
                    </w:rPr>
                    <w:t>3</w:t>
                  </w:r>
                </w:p>
              </w:tc>
              <w:tc>
                <w:tcPr>
                  <w:tcW w:w="1813" w:type="pct"/>
                  <w:vAlign w:val="center"/>
                </w:tcPr>
                <w:p w14:paraId="246D8A7A" w14:textId="77777777" w:rsidR="00092D2C" w:rsidRPr="00092D2C" w:rsidRDefault="00092D2C" w:rsidP="00092D2C">
                  <w:pPr>
                    <w:spacing w:after="0"/>
                    <w:jc w:val="center"/>
                    <w:rPr>
                      <w:sz w:val="20"/>
                      <w:szCs w:val="20"/>
                      <w:lang w:val="sv-SE"/>
                    </w:rPr>
                  </w:pPr>
                  <w:r w:rsidRPr="00092D2C">
                    <w:rPr>
                      <w:sz w:val="20"/>
                      <w:szCs w:val="20"/>
                      <w:lang w:val="sv-SE"/>
                    </w:rPr>
                    <w:t>27.5 - 28.35 GHz</w:t>
                  </w:r>
                </w:p>
              </w:tc>
              <w:tc>
                <w:tcPr>
                  <w:tcW w:w="2030" w:type="pct"/>
                  <w:vAlign w:val="center"/>
                </w:tcPr>
                <w:p w14:paraId="19662E22" w14:textId="77777777" w:rsidR="00092D2C" w:rsidRPr="00092D2C" w:rsidRDefault="00092D2C" w:rsidP="00092D2C">
                  <w:pPr>
                    <w:spacing w:after="0"/>
                    <w:jc w:val="center"/>
                    <w:rPr>
                      <w:sz w:val="20"/>
                      <w:szCs w:val="20"/>
                      <w:lang w:val="sv-SE"/>
                    </w:rPr>
                  </w:pPr>
                  <w:r w:rsidRPr="00092D2C">
                    <w:rPr>
                      <w:sz w:val="20"/>
                      <w:szCs w:val="20"/>
                      <w:lang w:val="sv-SE"/>
                    </w:rPr>
                    <w:t>17.3 - 20.2 GHz</w:t>
                  </w:r>
                </w:p>
              </w:tc>
            </w:tr>
          </w:tbl>
          <w:p w14:paraId="732E5ACD" w14:textId="42852DF3" w:rsidR="004C0828" w:rsidRPr="00DD44AA" w:rsidRDefault="004C0828" w:rsidP="004C0828">
            <w:pPr>
              <w:spacing w:after="0"/>
              <w:rPr>
                <w:bCs/>
              </w:rPr>
            </w:pPr>
          </w:p>
        </w:tc>
      </w:tr>
    </w:tbl>
    <w:p w14:paraId="3E547274" w14:textId="77777777" w:rsidR="004C0828" w:rsidRDefault="004C0828" w:rsidP="00893F0E">
      <w:pPr>
        <w:spacing w:after="180"/>
        <w:jc w:val="both"/>
        <w:rPr>
          <w:lang w:val="en-GB" w:eastAsia="x-none"/>
        </w:rPr>
      </w:pPr>
    </w:p>
    <w:p w14:paraId="7D51B711" w14:textId="2FE1D87E" w:rsidR="004C0828" w:rsidRDefault="00092D2C" w:rsidP="00893F0E">
      <w:pPr>
        <w:spacing w:after="180"/>
        <w:jc w:val="both"/>
        <w:rPr>
          <w:lang w:val="en-GB" w:eastAsia="x-none"/>
        </w:rPr>
      </w:pPr>
      <w:r>
        <w:rPr>
          <w:lang w:val="en-GB" w:eastAsia="x-none"/>
        </w:rPr>
        <w:t xml:space="preserve">Since RF will prioritize the radiated requirement and the new NTN band was agreed in [17.3-20.2GHz] for DL and [27.5-30.0GHz] for UL, the beamforming related requirement shall also be considered in RRM. </w:t>
      </w:r>
      <w:r w:rsidR="004C0828">
        <w:rPr>
          <w:bCs/>
        </w:rPr>
        <w:t xml:space="preserve">In the deployment in </w:t>
      </w:r>
      <w:r>
        <w:rPr>
          <w:bCs/>
        </w:rPr>
        <w:t>such Ka</w:t>
      </w:r>
      <w:r w:rsidR="004C0828" w:rsidRPr="00134B7D">
        <w:rPr>
          <w:bCs/>
        </w:rPr>
        <w:t xml:space="preserve"> bands</w:t>
      </w:r>
      <w:r w:rsidR="004C0828">
        <w:rPr>
          <w:bCs/>
        </w:rPr>
        <w:t>, if NTN UE has Rx beam-forming</w:t>
      </w:r>
      <w:r w:rsidR="003469BE">
        <w:rPr>
          <w:bCs/>
        </w:rPr>
        <w:t xml:space="preserve"> for a Non-GSO satellite</w:t>
      </w:r>
      <w:r w:rsidR="004C0828">
        <w:rPr>
          <w:bCs/>
        </w:rPr>
        <w:t xml:space="preserve">, </w:t>
      </w:r>
      <w:r w:rsidR="003469BE">
        <w:rPr>
          <w:bCs/>
        </w:rPr>
        <w:t>the new measurement behavior might need more investigation since the legacy Rx beam sweeping factor is up to 8 which can cause very long measurement delay; that is, d</w:t>
      </w:r>
      <w:r w:rsidR="003469BE" w:rsidRPr="003469BE">
        <w:rPr>
          <w:bCs/>
        </w:rPr>
        <w:t xml:space="preserve">ifferent from FR1 NTN measurement, the Rx beam sweeping needs to be considered in 10GHz NTN case, however, since the Non-GSO satellite can move very fast, the legacy beam sweeping may not be able to track the DL signal timely, e.g., using SSB for beam tracking, </w:t>
      </w:r>
      <w:proofErr w:type="spellStart"/>
      <w:r w:rsidR="003469BE" w:rsidRPr="003469BE">
        <w:rPr>
          <w:bCs/>
        </w:rPr>
        <w:t>beam_sweeping_factor</w:t>
      </w:r>
      <w:proofErr w:type="spellEnd"/>
      <w:r w:rsidR="003469BE" w:rsidRPr="003469BE">
        <w:rPr>
          <w:bCs/>
        </w:rPr>
        <w:t xml:space="preserve"> * SSB periodicity * sharing factor = 8*160ms * sharing factor =1280ms * sharing factor. Sharing factor</w:t>
      </w:r>
      <w:r w:rsidR="003469BE">
        <w:rPr>
          <w:bCs/>
        </w:rPr>
        <w:t xml:space="preserve"> here</w:t>
      </w:r>
      <w:r w:rsidR="003469BE" w:rsidRPr="003469BE">
        <w:rPr>
          <w:bCs/>
        </w:rPr>
        <w:t xml:space="preserve"> is the measurement resource sharing with other UE activities, e.g., L1 UE behavior or measurement gap on different carriers</w:t>
      </w:r>
      <w:r w:rsidR="003469BE">
        <w:rPr>
          <w:bCs/>
        </w:rPr>
        <w:t>.</w:t>
      </w:r>
      <w:r>
        <w:rPr>
          <w:bCs/>
        </w:rPr>
        <w:t xml:space="preserve"> Thus, some enhancements are probably needed to support mobility measurement in such Ka band, e.g., VSAT UE may adaptively </w:t>
      </w:r>
      <w:r w:rsidR="00B83DF3">
        <w:rPr>
          <w:bCs/>
        </w:rPr>
        <w:t xml:space="preserve">switch the Rx beam direction according to the trajectory of the target satellite, or the beam sweeping factor might be reduced if VSAT UE can roughly determine a direction range for target satellite.  </w:t>
      </w:r>
    </w:p>
    <w:p w14:paraId="14C04B24" w14:textId="5131F874" w:rsidR="00DD44AA" w:rsidRDefault="003469BE" w:rsidP="00893F0E">
      <w:pPr>
        <w:spacing w:after="180"/>
        <w:jc w:val="both"/>
        <w:rPr>
          <w:lang w:val="en-GB" w:eastAsia="x-none"/>
        </w:rPr>
      </w:pPr>
      <w:r w:rsidRPr="003469BE">
        <w:rPr>
          <w:noProof/>
          <w:lang w:val="en-GB" w:eastAsia="x-none"/>
        </w:rPr>
        <w:drawing>
          <wp:inline distT="0" distB="0" distL="0" distR="0" wp14:anchorId="05155C27" wp14:editId="32E38ED6">
            <wp:extent cx="6120765" cy="1541145"/>
            <wp:effectExtent l="0" t="0" r="0" b="0"/>
            <wp:docPr id="1" name="Picture 1" descr="A picture containing las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laser&#10;&#10;Description automatically generated"/>
                    <pic:cNvPicPr/>
                  </pic:nvPicPr>
                  <pic:blipFill>
                    <a:blip r:embed="rId8"/>
                    <a:stretch>
                      <a:fillRect/>
                    </a:stretch>
                  </pic:blipFill>
                  <pic:spPr>
                    <a:xfrm>
                      <a:off x="0" y="0"/>
                      <a:ext cx="6120765" cy="1541145"/>
                    </a:xfrm>
                    <a:prstGeom prst="rect">
                      <a:avLst/>
                    </a:prstGeom>
                  </pic:spPr>
                </pic:pic>
              </a:graphicData>
            </a:graphic>
          </wp:inline>
        </w:drawing>
      </w:r>
    </w:p>
    <w:p w14:paraId="273AEB17" w14:textId="641CADEC" w:rsidR="00B83DF3" w:rsidRDefault="00B83DF3" w:rsidP="00893F0E">
      <w:pPr>
        <w:spacing w:after="180"/>
        <w:jc w:val="both"/>
        <w:rPr>
          <w:lang w:val="en-GB" w:eastAsia="x-none"/>
        </w:rPr>
      </w:pPr>
      <w:r>
        <w:rPr>
          <w:lang w:val="en-GB" w:eastAsia="x-none"/>
        </w:rPr>
        <w:lastRenderedPageBreak/>
        <w:t xml:space="preserve">Moreover, in R17 TCI switching requirement for PDCCH, the switching is triggered by MAC CE and followed by L1-RSRP measurement and fine time tracking in certain cases. </w:t>
      </w:r>
      <w:proofErr w:type="gramStart"/>
      <w:r>
        <w:rPr>
          <w:lang w:val="en-GB" w:eastAsia="x-none"/>
        </w:rPr>
        <w:t>In order to</w:t>
      </w:r>
      <w:proofErr w:type="gramEnd"/>
      <w:r>
        <w:rPr>
          <w:lang w:val="en-GB" w:eastAsia="x-none"/>
        </w:rPr>
        <w:t xml:space="preserve"> shorten the switching delay, the timer triggered TCI switching or UE triggered TCI switching (e.g., using RSRP to determine the best TCI to switch to) may need to be investigated. And those solutions also need to be evaluated in RAN1 and RAN2.</w:t>
      </w:r>
    </w:p>
    <w:p w14:paraId="69FA9971" w14:textId="063B2D06" w:rsidR="003469BE" w:rsidRDefault="003469BE" w:rsidP="00B83DF3">
      <w:pPr>
        <w:spacing w:after="180"/>
        <w:jc w:val="both"/>
        <w:rPr>
          <w:lang w:val="en-GB" w:eastAsia="x-none"/>
        </w:rPr>
      </w:pPr>
      <w:r>
        <w:rPr>
          <w:lang w:val="en-GB" w:eastAsia="x-none"/>
        </w:rPr>
        <w:t xml:space="preserve">Another potential issue is about the existing UE capability of </w:t>
      </w:r>
    </w:p>
    <w:p w14:paraId="3862A848" w14:textId="77777777" w:rsidR="003469BE" w:rsidRPr="003469BE" w:rsidRDefault="003469BE" w:rsidP="00B83DF3">
      <w:pPr>
        <w:pStyle w:val="ListParagraph"/>
        <w:numPr>
          <w:ilvl w:val="0"/>
          <w:numId w:val="41"/>
        </w:numPr>
        <w:spacing w:after="180" w:line="240" w:lineRule="auto"/>
        <w:ind w:firstLineChars="0"/>
        <w:jc w:val="both"/>
        <w:rPr>
          <w:rFonts w:eastAsia="Times New Roman"/>
          <w:snapToGrid/>
          <w:sz w:val="24"/>
          <w:szCs w:val="24"/>
          <w:lang w:val="en-GB"/>
        </w:rPr>
      </w:pPr>
      <w:r w:rsidRPr="003469BE">
        <w:rPr>
          <w:rFonts w:eastAsia="Times New Roman"/>
          <w:i/>
          <w:iCs/>
          <w:snapToGrid/>
          <w:sz w:val="24"/>
          <w:szCs w:val="24"/>
          <w:lang w:val="en-GB"/>
        </w:rPr>
        <w:t>maxNumber-NGSO-SatellitesWithinOneSMTC-r17</w:t>
      </w:r>
      <w:r w:rsidRPr="003469BE">
        <w:rPr>
          <w:rFonts w:eastAsia="Times New Roman"/>
          <w:snapToGrid/>
          <w:sz w:val="24"/>
          <w:szCs w:val="24"/>
          <w:lang w:val="en-GB"/>
        </w:rPr>
        <w:t xml:space="preserve"> and </w:t>
      </w:r>
    </w:p>
    <w:p w14:paraId="0C60FC99" w14:textId="4EF216D4" w:rsidR="003469BE" w:rsidRPr="003469BE" w:rsidRDefault="003469BE" w:rsidP="00B83DF3">
      <w:pPr>
        <w:pStyle w:val="ListParagraph"/>
        <w:numPr>
          <w:ilvl w:val="0"/>
          <w:numId w:val="41"/>
        </w:numPr>
        <w:spacing w:after="180" w:line="240" w:lineRule="auto"/>
        <w:ind w:firstLineChars="0"/>
        <w:jc w:val="both"/>
        <w:rPr>
          <w:rFonts w:eastAsia="Times New Roman"/>
          <w:snapToGrid/>
          <w:sz w:val="24"/>
          <w:szCs w:val="24"/>
          <w:lang w:val="en-GB"/>
        </w:rPr>
      </w:pPr>
      <w:r w:rsidRPr="003469BE">
        <w:rPr>
          <w:i/>
          <w:iCs/>
          <w:sz w:val="24"/>
          <w:szCs w:val="24"/>
          <w:lang w:val="en-GB"/>
        </w:rPr>
        <w:t>parallelMeasurementWithoutRestriction-r17</w:t>
      </w:r>
      <w:r w:rsidRPr="003469BE">
        <w:rPr>
          <w:sz w:val="24"/>
          <w:szCs w:val="24"/>
          <w:lang w:val="en-GB"/>
        </w:rPr>
        <w:t>,</w:t>
      </w:r>
    </w:p>
    <w:p w14:paraId="39736C31" w14:textId="2EB5F9B1" w:rsidR="00224A30" w:rsidRDefault="003469BE" w:rsidP="00893F0E">
      <w:pPr>
        <w:spacing w:after="180"/>
        <w:jc w:val="both"/>
        <w:rPr>
          <w:iCs/>
          <w:color w:val="000000" w:themeColor="text1"/>
        </w:rPr>
      </w:pPr>
      <w:r w:rsidRPr="003469BE">
        <w:rPr>
          <w:iCs/>
          <w:noProof/>
          <w:color w:val="000000" w:themeColor="text1"/>
        </w:rPr>
        <w:drawing>
          <wp:inline distT="0" distB="0" distL="0" distR="0" wp14:anchorId="1638C662" wp14:editId="1F361166">
            <wp:extent cx="6120765" cy="1494790"/>
            <wp:effectExtent l="0" t="0" r="635" b="3810"/>
            <wp:docPr id="3" name="Picture 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10;&#10;Description automatically generated"/>
                    <pic:cNvPicPr/>
                  </pic:nvPicPr>
                  <pic:blipFill>
                    <a:blip r:embed="rId9"/>
                    <a:stretch>
                      <a:fillRect/>
                    </a:stretch>
                  </pic:blipFill>
                  <pic:spPr>
                    <a:xfrm>
                      <a:off x="0" y="0"/>
                      <a:ext cx="6120765" cy="1494790"/>
                    </a:xfrm>
                    <a:prstGeom prst="rect">
                      <a:avLst/>
                    </a:prstGeom>
                  </pic:spPr>
                </pic:pic>
              </a:graphicData>
            </a:graphic>
          </wp:inline>
        </w:drawing>
      </w:r>
    </w:p>
    <w:p w14:paraId="72A6B011" w14:textId="475F26B9" w:rsidR="003469BE" w:rsidRDefault="003469BE" w:rsidP="00893F0E">
      <w:pPr>
        <w:spacing w:after="180"/>
        <w:jc w:val="both"/>
        <w:rPr>
          <w:lang w:val="en-GB" w:eastAsia="x-none"/>
        </w:rPr>
      </w:pPr>
      <w:r w:rsidRPr="003469BE">
        <w:rPr>
          <w:lang w:val="en-GB" w:eastAsia="x-none"/>
        </w:rPr>
        <w:t xml:space="preserve">In </w:t>
      </w:r>
      <w:r w:rsidRPr="003469BE">
        <w:rPr>
          <w:i/>
          <w:iCs/>
          <w:lang w:val="en-GB" w:eastAsia="x-none"/>
        </w:rPr>
        <w:t>maxNumber-NGSO-SatellitesWithinOneSMTC-r17</w:t>
      </w:r>
      <w:r w:rsidRPr="003469BE">
        <w:rPr>
          <w:lang w:val="en-GB" w:eastAsia="x-none"/>
        </w:rPr>
        <w:t xml:space="preserve">, it’s only for FR1 and no Rx beam related measurement collision has been considered, that means, in FR1 UE </w:t>
      </w:r>
      <w:r>
        <w:rPr>
          <w:lang w:val="en-GB" w:eastAsia="x-none"/>
        </w:rPr>
        <w:t>can</w:t>
      </w:r>
      <w:r w:rsidRPr="003469BE">
        <w:rPr>
          <w:lang w:val="en-GB" w:eastAsia="x-none"/>
        </w:rPr>
        <w:t xml:space="preserve"> indicate to support multiple NGSO within SMTC for parallel measurement, however, in 10GHz NTN, the beam condition shall also be considered, and therefore UE may not be able to support parallel measurement.</w:t>
      </w:r>
    </w:p>
    <w:p w14:paraId="285D4F5D" w14:textId="4D89B051" w:rsidR="003469BE" w:rsidRDefault="00FE2C51" w:rsidP="00893F0E">
      <w:pPr>
        <w:spacing w:after="180"/>
        <w:jc w:val="both"/>
        <w:rPr>
          <w:lang w:val="en-GB" w:eastAsia="x-none"/>
        </w:rPr>
      </w:pPr>
      <w:r w:rsidRPr="00FE2C51">
        <w:rPr>
          <w:noProof/>
          <w:lang w:val="en-GB" w:eastAsia="x-none"/>
        </w:rPr>
        <w:drawing>
          <wp:inline distT="0" distB="0" distL="0" distR="0" wp14:anchorId="0848F458" wp14:editId="5F2946B0">
            <wp:extent cx="6120765" cy="1226820"/>
            <wp:effectExtent l="0" t="0" r="635" b="5080"/>
            <wp:docPr id="5" name="Picture 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pic:cNvPicPr/>
                  </pic:nvPicPr>
                  <pic:blipFill>
                    <a:blip r:embed="rId10"/>
                    <a:stretch>
                      <a:fillRect/>
                    </a:stretch>
                  </pic:blipFill>
                  <pic:spPr>
                    <a:xfrm>
                      <a:off x="0" y="0"/>
                      <a:ext cx="6120765" cy="1226820"/>
                    </a:xfrm>
                    <a:prstGeom prst="rect">
                      <a:avLst/>
                    </a:prstGeom>
                  </pic:spPr>
                </pic:pic>
              </a:graphicData>
            </a:graphic>
          </wp:inline>
        </w:drawing>
      </w:r>
    </w:p>
    <w:p w14:paraId="363E0039" w14:textId="70C6E610" w:rsidR="00FE2C51" w:rsidRPr="003469BE" w:rsidRDefault="00FE2C51" w:rsidP="00893F0E">
      <w:pPr>
        <w:spacing w:after="180"/>
        <w:jc w:val="both"/>
        <w:rPr>
          <w:lang w:val="en-GB" w:eastAsia="x-none"/>
        </w:rPr>
      </w:pPr>
      <w:r w:rsidRPr="00FE2C51">
        <w:rPr>
          <w:lang w:val="en-GB" w:eastAsia="x-none"/>
        </w:rPr>
        <w:t xml:space="preserve">In </w:t>
      </w:r>
      <w:r w:rsidRPr="00FE2C51">
        <w:rPr>
          <w:i/>
          <w:iCs/>
          <w:lang w:val="en-GB" w:eastAsia="x-none"/>
        </w:rPr>
        <w:t>parallelMeasurementWithoutRestriction-r17</w:t>
      </w:r>
      <w:r w:rsidRPr="00FE2C51">
        <w:rPr>
          <w:lang w:val="en-GB" w:eastAsia="x-none"/>
        </w:rPr>
        <w:t>, it’s only for FR1 and no Rx beam related measurement collision has been considered, e.g., if the serving cell belongs to GSO satellite, no scheduling restriction is applied. However, when beam is considered, the measurement restriction may need to be re-considered in this capability design.</w:t>
      </w:r>
    </w:p>
    <w:p w14:paraId="7C138289" w14:textId="755927C9" w:rsidR="00224A30" w:rsidRPr="002D1506" w:rsidRDefault="00224A30" w:rsidP="00893F0E">
      <w:pPr>
        <w:spacing w:after="180"/>
        <w:jc w:val="both"/>
        <w:rPr>
          <w:b/>
          <w:bCs/>
          <w:i/>
          <w:color w:val="000000" w:themeColor="text1"/>
        </w:rPr>
      </w:pPr>
      <w:r w:rsidRPr="002D1506">
        <w:rPr>
          <w:b/>
          <w:bCs/>
          <w:i/>
          <w:color w:val="000000" w:themeColor="text1"/>
        </w:rPr>
        <w:t xml:space="preserve">Proposal 1: </w:t>
      </w:r>
      <w:r w:rsidR="00194DA2" w:rsidRPr="00194DA2">
        <w:rPr>
          <w:b/>
          <w:bCs/>
          <w:i/>
          <w:color w:val="000000" w:themeColor="text1"/>
        </w:rPr>
        <w:t xml:space="preserve">RAN4 to specify the </w:t>
      </w:r>
      <w:r w:rsidR="00194DA2">
        <w:rPr>
          <w:b/>
          <w:bCs/>
          <w:i/>
          <w:color w:val="000000" w:themeColor="text1"/>
        </w:rPr>
        <w:t xml:space="preserve">RRM </w:t>
      </w:r>
      <w:r w:rsidR="00194DA2" w:rsidRPr="00194DA2">
        <w:rPr>
          <w:b/>
          <w:bCs/>
          <w:i/>
          <w:color w:val="000000" w:themeColor="text1"/>
        </w:rPr>
        <w:t>requirement for NR-NTN deployment above 10 GHz bands</w:t>
      </w:r>
      <w:r w:rsidR="00194DA2" w:rsidRPr="00194DA2">
        <w:t xml:space="preserve"> </w:t>
      </w:r>
      <w:r w:rsidR="00194DA2" w:rsidRPr="00194DA2">
        <w:rPr>
          <w:b/>
          <w:bCs/>
          <w:i/>
          <w:color w:val="000000" w:themeColor="text1"/>
        </w:rPr>
        <w:t xml:space="preserve">after concrete conclusion is made </w:t>
      </w:r>
      <w:r w:rsidR="00194DA2">
        <w:rPr>
          <w:b/>
          <w:bCs/>
          <w:i/>
          <w:color w:val="000000" w:themeColor="text1"/>
        </w:rPr>
        <w:t>in</w:t>
      </w:r>
      <w:r w:rsidR="00194DA2" w:rsidRPr="00194DA2">
        <w:rPr>
          <w:b/>
          <w:bCs/>
          <w:i/>
          <w:color w:val="000000" w:themeColor="text1"/>
        </w:rPr>
        <w:t xml:space="preserve"> RF session</w:t>
      </w:r>
      <w:r w:rsidR="00194DA2">
        <w:rPr>
          <w:b/>
          <w:bCs/>
          <w:i/>
          <w:color w:val="000000" w:themeColor="text1"/>
        </w:rPr>
        <w:t xml:space="preserve">, e.g., </w:t>
      </w:r>
      <w:r w:rsidR="00194DA2" w:rsidRPr="00194DA2">
        <w:rPr>
          <w:b/>
          <w:bCs/>
          <w:i/>
          <w:color w:val="000000" w:themeColor="text1"/>
        </w:rPr>
        <w:t>Rx beam</w:t>
      </w:r>
      <w:r w:rsidR="00194DA2">
        <w:rPr>
          <w:b/>
          <w:bCs/>
          <w:i/>
          <w:color w:val="000000" w:themeColor="text1"/>
        </w:rPr>
        <w:t>-forming related RRM requirement</w:t>
      </w:r>
      <w:r w:rsidRPr="002D1506">
        <w:rPr>
          <w:b/>
          <w:bCs/>
          <w:i/>
          <w:color w:val="000000" w:themeColor="text1"/>
        </w:rPr>
        <w:t>.</w:t>
      </w:r>
    </w:p>
    <w:p w14:paraId="5BA94AB8" w14:textId="2BB32D95" w:rsidR="00194DA2" w:rsidRDefault="00F00240" w:rsidP="00194DA2">
      <w:pPr>
        <w:spacing w:after="180"/>
        <w:jc w:val="both"/>
        <w:rPr>
          <w:iCs/>
          <w:color w:val="000000" w:themeColor="text1"/>
        </w:rPr>
      </w:pPr>
      <w:r>
        <w:rPr>
          <w:iCs/>
          <w:color w:val="000000" w:themeColor="text1"/>
        </w:rPr>
        <w:t>Another aspect of this WI is “</w:t>
      </w:r>
      <w:r w:rsidR="00194DA2" w:rsidRPr="00134B7D">
        <w:rPr>
          <w:bCs/>
        </w:rPr>
        <w:t>NTN-TN and NTN-NTN mobility and service continuity enhancements</w:t>
      </w:r>
      <w:r>
        <w:rPr>
          <w:iCs/>
          <w:color w:val="000000" w:themeColor="text1"/>
        </w:rPr>
        <w:t>”</w:t>
      </w:r>
      <w:r w:rsidR="00194DA2">
        <w:rPr>
          <w:iCs/>
          <w:color w:val="000000" w:themeColor="text1"/>
        </w:rPr>
        <w:t>. The working scope is as followings:</w:t>
      </w:r>
    </w:p>
    <w:tbl>
      <w:tblPr>
        <w:tblStyle w:val="TableGrid"/>
        <w:tblW w:w="0" w:type="auto"/>
        <w:tblLook w:val="04A0" w:firstRow="1" w:lastRow="0" w:firstColumn="1" w:lastColumn="0" w:noHBand="0" w:noVBand="1"/>
      </w:tblPr>
      <w:tblGrid>
        <w:gridCol w:w="9629"/>
      </w:tblGrid>
      <w:tr w:rsidR="00194DA2" w14:paraId="653DB760" w14:textId="77777777" w:rsidTr="00194DA2">
        <w:tc>
          <w:tcPr>
            <w:tcW w:w="9629" w:type="dxa"/>
          </w:tcPr>
          <w:p w14:paraId="0BB0DB93" w14:textId="77777777" w:rsidR="00194DA2" w:rsidRPr="00194DA2" w:rsidRDefault="00194DA2" w:rsidP="00194DA2">
            <w:pPr>
              <w:spacing w:after="0"/>
              <w:rPr>
                <w:bCs/>
                <w:sz w:val="20"/>
                <w:szCs w:val="20"/>
              </w:rPr>
            </w:pPr>
            <w:r w:rsidRPr="00194DA2">
              <w:rPr>
                <w:bCs/>
                <w:sz w:val="20"/>
                <w:szCs w:val="20"/>
              </w:rPr>
              <w:t>This work considers existing methods from NR TN as well as outcome of Rel-17 NR NTN WI outcome as baseline for NTN-TN mobility.</w:t>
            </w:r>
          </w:p>
          <w:p w14:paraId="1AE4423D" w14:textId="77777777" w:rsidR="00194DA2" w:rsidRPr="00194DA2" w:rsidRDefault="00194DA2" w:rsidP="00194DA2">
            <w:pPr>
              <w:spacing w:after="0"/>
              <w:rPr>
                <w:bCs/>
                <w:sz w:val="20"/>
                <w:szCs w:val="20"/>
              </w:rPr>
            </w:pPr>
          </w:p>
          <w:p w14:paraId="41CDDB9A" w14:textId="77777777" w:rsidR="00194DA2" w:rsidRPr="00194DA2" w:rsidRDefault="00194DA2" w:rsidP="00194DA2">
            <w:pPr>
              <w:numPr>
                <w:ilvl w:val="0"/>
                <w:numId w:val="42"/>
              </w:numPr>
              <w:overflowPunct w:val="0"/>
              <w:autoSpaceDE w:val="0"/>
              <w:autoSpaceDN w:val="0"/>
              <w:adjustRightInd w:val="0"/>
              <w:spacing w:after="0"/>
              <w:textAlignment w:val="baseline"/>
              <w:rPr>
                <w:bCs/>
                <w:sz w:val="20"/>
                <w:szCs w:val="20"/>
              </w:rPr>
            </w:pPr>
            <w:r w:rsidRPr="00194DA2">
              <w:rPr>
                <w:bCs/>
                <w:sz w:val="20"/>
                <w:szCs w:val="20"/>
              </w:rPr>
              <w:t>Specify NTN-TN and NTN-NTN measurement/mobility and service continuity enhancements [RAN</w:t>
            </w:r>
            <w:proofErr w:type="gramStart"/>
            <w:r w:rsidRPr="00194DA2">
              <w:rPr>
                <w:bCs/>
                <w:sz w:val="20"/>
                <w:szCs w:val="20"/>
              </w:rPr>
              <w:t>2,RAN</w:t>
            </w:r>
            <w:proofErr w:type="gramEnd"/>
            <w:r w:rsidRPr="00194DA2">
              <w:rPr>
                <w:bCs/>
                <w:sz w:val="20"/>
                <w:szCs w:val="20"/>
              </w:rPr>
              <w:t>3,RAN4]</w:t>
            </w:r>
          </w:p>
          <w:p w14:paraId="116E7AB1" w14:textId="77777777" w:rsidR="00194DA2" w:rsidRPr="00194DA2" w:rsidRDefault="00194DA2" w:rsidP="00194DA2">
            <w:pPr>
              <w:numPr>
                <w:ilvl w:val="1"/>
                <w:numId w:val="42"/>
              </w:numPr>
              <w:overflowPunct w:val="0"/>
              <w:autoSpaceDE w:val="0"/>
              <w:autoSpaceDN w:val="0"/>
              <w:adjustRightInd w:val="0"/>
              <w:spacing w:after="0"/>
              <w:textAlignment w:val="baseline"/>
              <w:rPr>
                <w:bCs/>
                <w:color w:val="FF0000"/>
                <w:sz w:val="20"/>
                <w:szCs w:val="20"/>
              </w:rPr>
            </w:pPr>
            <w:r w:rsidRPr="00194DA2">
              <w:rPr>
                <w:bCs/>
                <w:color w:val="FF0000"/>
                <w:sz w:val="20"/>
                <w:szCs w:val="20"/>
              </w:rPr>
              <w:t>For NTN-NTN mobility, specify cell reselection enhancements for earth moving cell, the timing based and location-based cell reselection for quasi-earth fixed cell in Rel-17 can be considered as the starting point. [RAN2, RAN3, RAN4]</w:t>
            </w:r>
          </w:p>
          <w:p w14:paraId="56658050" w14:textId="77777777" w:rsidR="00194DA2" w:rsidRPr="00194DA2" w:rsidRDefault="00194DA2" w:rsidP="00194DA2">
            <w:pPr>
              <w:numPr>
                <w:ilvl w:val="1"/>
                <w:numId w:val="42"/>
              </w:numPr>
              <w:overflowPunct w:val="0"/>
              <w:autoSpaceDE w:val="0"/>
              <w:autoSpaceDN w:val="0"/>
              <w:adjustRightInd w:val="0"/>
              <w:spacing w:after="0"/>
              <w:textAlignment w:val="baseline"/>
              <w:rPr>
                <w:bCs/>
                <w:sz w:val="20"/>
                <w:szCs w:val="20"/>
              </w:rPr>
            </w:pPr>
            <w:r w:rsidRPr="00194DA2">
              <w:rPr>
                <w:bCs/>
                <w:sz w:val="20"/>
                <w:szCs w:val="20"/>
              </w:rPr>
              <w:t xml:space="preserve">Specify NTN-NTN handover enhancement for RRC_CONNECTED UEs in the quasi-earth-fixed cell and earth-moving cell to reduce the </w:t>
            </w:r>
            <w:proofErr w:type="spellStart"/>
            <w:r w:rsidRPr="00194DA2">
              <w:rPr>
                <w:bCs/>
                <w:sz w:val="20"/>
                <w:szCs w:val="20"/>
              </w:rPr>
              <w:t>signalling</w:t>
            </w:r>
            <w:proofErr w:type="spellEnd"/>
            <w:r w:rsidRPr="00194DA2">
              <w:rPr>
                <w:bCs/>
                <w:sz w:val="20"/>
                <w:szCs w:val="20"/>
              </w:rPr>
              <w:t xml:space="preserve"> overhead. [RAN2, RAN3]</w:t>
            </w:r>
          </w:p>
          <w:p w14:paraId="0EF856C1" w14:textId="77777777" w:rsidR="00194DA2" w:rsidRPr="00194DA2" w:rsidRDefault="00194DA2" w:rsidP="00194DA2">
            <w:pPr>
              <w:numPr>
                <w:ilvl w:val="1"/>
                <w:numId w:val="42"/>
              </w:numPr>
              <w:overflowPunct w:val="0"/>
              <w:autoSpaceDE w:val="0"/>
              <w:autoSpaceDN w:val="0"/>
              <w:adjustRightInd w:val="0"/>
              <w:spacing w:after="0"/>
              <w:textAlignment w:val="baseline"/>
              <w:rPr>
                <w:bCs/>
                <w:color w:val="FF0000"/>
                <w:sz w:val="20"/>
                <w:szCs w:val="20"/>
              </w:rPr>
            </w:pPr>
            <w:r w:rsidRPr="00194DA2">
              <w:rPr>
                <w:bCs/>
                <w:color w:val="FF0000"/>
                <w:sz w:val="20"/>
                <w:szCs w:val="20"/>
              </w:rPr>
              <w:lastRenderedPageBreak/>
              <w:t>Specify cell reselection enhancements for RRC_IDLE/INACTIVE UEs to reduce UE power consumption (NTN-TN mobility is prioritized). [RAN2, RAN3, RAN4]</w:t>
            </w:r>
          </w:p>
          <w:p w14:paraId="032CB58E" w14:textId="181D4E6E" w:rsidR="00194DA2" w:rsidRPr="00194DA2" w:rsidRDefault="00194DA2" w:rsidP="00194DA2">
            <w:pPr>
              <w:numPr>
                <w:ilvl w:val="1"/>
                <w:numId w:val="42"/>
              </w:numPr>
              <w:overflowPunct w:val="0"/>
              <w:autoSpaceDE w:val="0"/>
              <w:autoSpaceDN w:val="0"/>
              <w:adjustRightInd w:val="0"/>
              <w:spacing w:after="0"/>
              <w:textAlignment w:val="baseline"/>
              <w:rPr>
                <w:bCs/>
              </w:rPr>
            </w:pPr>
            <w:r w:rsidRPr="00194DA2">
              <w:rPr>
                <w:bCs/>
                <w:sz w:val="20"/>
                <w:szCs w:val="20"/>
              </w:rPr>
              <w:t xml:space="preserve">Study and, if needed, specify enhancement to </w:t>
            </w:r>
            <w:proofErr w:type="spellStart"/>
            <w:r w:rsidRPr="00194DA2">
              <w:rPr>
                <w:bCs/>
                <w:sz w:val="20"/>
                <w:szCs w:val="20"/>
              </w:rPr>
              <w:t>Xn</w:t>
            </w:r>
            <w:proofErr w:type="spellEnd"/>
            <w:r w:rsidRPr="00194DA2">
              <w:rPr>
                <w:bCs/>
                <w:sz w:val="20"/>
                <w:szCs w:val="20"/>
              </w:rPr>
              <w:t xml:space="preserve">[/NG] </w:t>
            </w:r>
            <w:proofErr w:type="spellStart"/>
            <w:r w:rsidRPr="00194DA2">
              <w:rPr>
                <w:bCs/>
                <w:sz w:val="20"/>
                <w:szCs w:val="20"/>
              </w:rPr>
              <w:t>signalling</w:t>
            </w:r>
            <w:proofErr w:type="spellEnd"/>
            <w:r w:rsidRPr="00194DA2">
              <w:rPr>
                <w:bCs/>
                <w:sz w:val="20"/>
                <w:szCs w:val="20"/>
              </w:rPr>
              <w:t xml:space="preserve"> to support feeder link switch-over, CHO, </w:t>
            </w:r>
            <w:proofErr w:type="gramStart"/>
            <w:r w:rsidRPr="00194DA2">
              <w:rPr>
                <w:bCs/>
                <w:sz w:val="20"/>
                <w:szCs w:val="20"/>
              </w:rPr>
              <w:t>e.g.</w:t>
            </w:r>
            <w:proofErr w:type="gramEnd"/>
            <w:r w:rsidRPr="00194DA2">
              <w:rPr>
                <w:bCs/>
                <w:sz w:val="20"/>
                <w:szCs w:val="20"/>
              </w:rPr>
              <w:t xml:space="preserve"> exchange of necessary information between </w:t>
            </w:r>
            <w:proofErr w:type="spellStart"/>
            <w:r w:rsidRPr="00194DA2">
              <w:rPr>
                <w:bCs/>
                <w:sz w:val="20"/>
                <w:szCs w:val="20"/>
              </w:rPr>
              <w:t>gNBs</w:t>
            </w:r>
            <w:proofErr w:type="spellEnd"/>
            <w:r w:rsidRPr="00194DA2">
              <w:rPr>
                <w:bCs/>
                <w:sz w:val="20"/>
                <w:szCs w:val="20"/>
              </w:rPr>
              <w:t>. [RAN3]</w:t>
            </w:r>
          </w:p>
        </w:tc>
      </w:tr>
    </w:tbl>
    <w:p w14:paraId="13E886E5" w14:textId="37568E34" w:rsidR="00194DA2" w:rsidRDefault="00194DA2" w:rsidP="00194DA2">
      <w:pPr>
        <w:spacing w:after="180"/>
        <w:jc w:val="both"/>
        <w:rPr>
          <w:b/>
          <w:bCs/>
          <w:i/>
          <w:color w:val="000000" w:themeColor="text1"/>
        </w:rPr>
      </w:pPr>
    </w:p>
    <w:p w14:paraId="0E9A3C3B" w14:textId="1F9E6774" w:rsidR="00194DA2" w:rsidRDefault="00194DA2" w:rsidP="00194DA2">
      <w:pPr>
        <w:spacing w:after="180"/>
        <w:jc w:val="both"/>
        <w:rPr>
          <w:iCs/>
          <w:color w:val="000000" w:themeColor="text1"/>
        </w:rPr>
      </w:pPr>
      <w:r w:rsidRPr="00194DA2">
        <w:rPr>
          <w:iCs/>
          <w:color w:val="000000" w:themeColor="text1"/>
        </w:rPr>
        <w:t>And in last RAN2</w:t>
      </w:r>
      <w:r w:rsidR="004A525E">
        <w:rPr>
          <w:iCs/>
          <w:color w:val="000000" w:themeColor="text1"/>
        </w:rPr>
        <w:t xml:space="preserve"> #121 </w:t>
      </w:r>
      <w:r w:rsidRPr="00194DA2">
        <w:rPr>
          <w:iCs/>
          <w:color w:val="000000" w:themeColor="text1"/>
        </w:rPr>
        <w:t>meeting, some conclusions have been made below,</w:t>
      </w:r>
    </w:p>
    <w:tbl>
      <w:tblPr>
        <w:tblStyle w:val="TableGrid"/>
        <w:tblW w:w="0" w:type="auto"/>
        <w:tblLook w:val="04A0" w:firstRow="1" w:lastRow="0" w:firstColumn="1" w:lastColumn="0" w:noHBand="0" w:noVBand="1"/>
      </w:tblPr>
      <w:tblGrid>
        <w:gridCol w:w="9629"/>
      </w:tblGrid>
      <w:tr w:rsidR="00194DA2" w14:paraId="0F827B5B" w14:textId="77777777" w:rsidTr="004A525E">
        <w:trPr>
          <w:trHeight w:val="665"/>
        </w:trPr>
        <w:tc>
          <w:tcPr>
            <w:tcW w:w="9629" w:type="dxa"/>
          </w:tcPr>
          <w:p w14:paraId="3E67A50D" w14:textId="77777777" w:rsidR="004A525E" w:rsidRPr="007926A5" w:rsidRDefault="004A525E" w:rsidP="004A525E">
            <w:pPr>
              <w:spacing w:after="0"/>
              <w:rPr>
                <w:b/>
                <w:bCs/>
                <w:sz w:val="20"/>
                <w:szCs w:val="20"/>
                <w:lang w:eastAsia="ja-JP"/>
              </w:rPr>
            </w:pPr>
            <w:r w:rsidRPr="007926A5">
              <w:rPr>
                <w:b/>
                <w:bCs/>
                <w:sz w:val="20"/>
                <w:szCs w:val="20"/>
                <w:lang w:eastAsia="ja-JP"/>
              </w:rPr>
              <w:t>c) Mobility enhancements</w:t>
            </w:r>
          </w:p>
          <w:p w14:paraId="2933AE5A" w14:textId="77777777" w:rsidR="004A525E" w:rsidRPr="007926A5" w:rsidRDefault="004A525E" w:rsidP="004A525E">
            <w:pPr>
              <w:spacing w:after="0"/>
              <w:rPr>
                <w:sz w:val="20"/>
                <w:szCs w:val="20"/>
                <w:lang w:eastAsia="ja-JP"/>
              </w:rPr>
            </w:pPr>
          </w:p>
          <w:p w14:paraId="3EB4893D" w14:textId="77777777" w:rsidR="004A525E" w:rsidRPr="00CF0DA7" w:rsidRDefault="004A525E" w:rsidP="004A525E">
            <w:pPr>
              <w:spacing w:after="0"/>
              <w:rPr>
                <w:sz w:val="20"/>
                <w:szCs w:val="20"/>
                <w:highlight w:val="green"/>
                <w:lang w:eastAsia="ja-JP"/>
              </w:rPr>
            </w:pPr>
            <w:r w:rsidRPr="00CF0DA7">
              <w:rPr>
                <w:sz w:val="20"/>
                <w:szCs w:val="20"/>
                <w:highlight w:val="green"/>
                <w:lang w:eastAsia="ja-JP"/>
              </w:rPr>
              <w:t>Agreements:</w:t>
            </w:r>
          </w:p>
          <w:p w14:paraId="2F01BB22" w14:textId="77777777" w:rsidR="004A525E" w:rsidRPr="007926A5" w:rsidRDefault="004A525E" w:rsidP="004A525E">
            <w:pPr>
              <w:spacing w:after="0"/>
              <w:rPr>
                <w:sz w:val="20"/>
                <w:szCs w:val="20"/>
                <w:lang w:eastAsia="ja-JP"/>
              </w:rPr>
            </w:pPr>
            <w:r w:rsidRPr="00CF0DA7">
              <w:rPr>
                <w:sz w:val="20"/>
                <w:szCs w:val="20"/>
                <w:highlight w:val="green"/>
                <w:lang w:eastAsia="ja-JP"/>
              </w:rPr>
              <w:t>1.</w:t>
            </w:r>
            <w:r w:rsidRPr="00CF0DA7">
              <w:rPr>
                <w:sz w:val="20"/>
                <w:szCs w:val="20"/>
                <w:highlight w:val="green"/>
                <w:lang w:eastAsia="ja-JP"/>
              </w:rPr>
              <w:tab/>
              <w:t>TN coverage area information will be associated to the frequency information.</w:t>
            </w:r>
          </w:p>
          <w:p w14:paraId="7074D640" w14:textId="77777777" w:rsidR="004A525E" w:rsidRPr="007926A5" w:rsidRDefault="004A525E" w:rsidP="004A525E">
            <w:pPr>
              <w:spacing w:after="0"/>
              <w:rPr>
                <w:sz w:val="20"/>
                <w:szCs w:val="20"/>
                <w:lang w:eastAsia="ja-JP"/>
              </w:rPr>
            </w:pPr>
            <w:r w:rsidRPr="007926A5">
              <w:rPr>
                <w:sz w:val="20"/>
                <w:szCs w:val="20"/>
                <w:lang w:eastAsia="ja-JP"/>
              </w:rPr>
              <w:t>2.</w:t>
            </w:r>
            <w:r w:rsidRPr="007926A5">
              <w:rPr>
                <w:sz w:val="20"/>
                <w:szCs w:val="20"/>
                <w:lang w:eastAsia="ja-JP"/>
              </w:rPr>
              <w:tab/>
              <w:t xml:space="preserve">RAN2 adopts explicit description of geographical TN area, and focuses on the following options for further discussion, taking the </w:t>
            </w:r>
            <w:proofErr w:type="spellStart"/>
            <w:r w:rsidRPr="007926A5">
              <w:rPr>
                <w:sz w:val="20"/>
                <w:szCs w:val="20"/>
                <w:lang w:eastAsia="ja-JP"/>
              </w:rPr>
              <w:t>signalling</w:t>
            </w:r>
            <w:proofErr w:type="spellEnd"/>
            <w:r w:rsidRPr="007926A5">
              <w:rPr>
                <w:sz w:val="20"/>
                <w:szCs w:val="20"/>
                <w:lang w:eastAsia="ja-JP"/>
              </w:rPr>
              <w:t xml:space="preserve"> overhead into account (FFS on the accuracy of the information):</w:t>
            </w:r>
          </w:p>
          <w:p w14:paraId="4D4C395B" w14:textId="77777777" w:rsidR="004A525E" w:rsidRPr="007926A5" w:rsidRDefault="004A525E" w:rsidP="004A525E">
            <w:pPr>
              <w:spacing w:after="0"/>
              <w:rPr>
                <w:sz w:val="20"/>
                <w:szCs w:val="20"/>
                <w:lang w:eastAsia="ja-JP"/>
              </w:rPr>
            </w:pPr>
            <w:r w:rsidRPr="007926A5">
              <w:rPr>
                <w:sz w:val="20"/>
                <w:szCs w:val="20"/>
                <w:lang w:eastAsia="ja-JP"/>
              </w:rPr>
              <w:tab/>
              <w:t>Option 1: The corresponding geographical area information is provided by network with location coordinates of area center and radius.</w:t>
            </w:r>
          </w:p>
          <w:p w14:paraId="00412550" w14:textId="77777777" w:rsidR="004A525E" w:rsidRPr="007926A5" w:rsidRDefault="004A525E" w:rsidP="004A525E">
            <w:pPr>
              <w:spacing w:after="0"/>
              <w:rPr>
                <w:sz w:val="20"/>
                <w:szCs w:val="20"/>
                <w:lang w:eastAsia="ja-JP"/>
              </w:rPr>
            </w:pPr>
            <w:r w:rsidRPr="007926A5">
              <w:rPr>
                <w:sz w:val="20"/>
                <w:szCs w:val="20"/>
                <w:lang w:eastAsia="ja-JP"/>
              </w:rPr>
              <w:tab/>
              <w:t xml:space="preserve">Option 2: a boundary line is provided by network in the format of a list of location coordinates, additionally an indication can be used to indicate which side is the TN </w:t>
            </w:r>
            <w:proofErr w:type="gramStart"/>
            <w:r w:rsidRPr="007926A5">
              <w:rPr>
                <w:sz w:val="20"/>
                <w:szCs w:val="20"/>
                <w:lang w:eastAsia="ja-JP"/>
              </w:rPr>
              <w:t>side</w:t>
            </w:r>
            <w:proofErr w:type="gramEnd"/>
          </w:p>
          <w:p w14:paraId="5E412BF4" w14:textId="77777777" w:rsidR="004A525E" w:rsidRPr="007926A5" w:rsidRDefault="004A525E" w:rsidP="004A525E">
            <w:pPr>
              <w:spacing w:after="0"/>
              <w:rPr>
                <w:sz w:val="20"/>
                <w:szCs w:val="20"/>
                <w:lang w:eastAsia="ja-JP"/>
              </w:rPr>
            </w:pPr>
            <w:r w:rsidRPr="007926A5">
              <w:rPr>
                <w:sz w:val="20"/>
                <w:szCs w:val="20"/>
                <w:lang w:eastAsia="ja-JP"/>
              </w:rPr>
              <w:tab/>
              <w:t>Option 6: for each TN area, a list of locations is provided by network, and the corresponding close shape could be illustrated by a polygon connecting these points within the list.</w:t>
            </w:r>
          </w:p>
          <w:p w14:paraId="05400AD5" w14:textId="77777777" w:rsidR="004A525E" w:rsidRPr="007926A5" w:rsidRDefault="004A525E" w:rsidP="004A525E">
            <w:pPr>
              <w:spacing w:after="0"/>
              <w:rPr>
                <w:sz w:val="20"/>
                <w:szCs w:val="20"/>
                <w:lang w:eastAsia="ja-JP"/>
              </w:rPr>
            </w:pPr>
          </w:p>
          <w:p w14:paraId="04EC516B" w14:textId="77777777" w:rsidR="004A525E" w:rsidRPr="00CF0DA7" w:rsidRDefault="004A525E" w:rsidP="004A525E">
            <w:pPr>
              <w:spacing w:after="0"/>
              <w:rPr>
                <w:sz w:val="20"/>
                <w:szCs w:val="20"/>
                <w:highlight w:val="green"/>
                <w:lang w:eastAsia="ja-JP"/>
              </w:rPr>
            </w:pPr>
            <w:r w:rsidRPr="00CF0DA7">
              <w:rPr>
                <w:sz w:val="20"/>
                <w:szCs w:val="20"/>
                <w:highlight w:val="green"/>
                <w:lang w:eastAsia="ja-JP"/>
              </w:rPr>
              <w:t>Agreements:</w:t>
            </w:r>
          </w:p>
          <w:p w14:paraId="78FC26A5" w14:textId="77777777" w:rsidR="004A525E" w:rsidRPr="00CF0DA7" w:rsidRDefault="004A525E" w:rsidP="004A525E">
            <w:pPr>
              <w:spacing w:after="0"/>
              <w:rPr>
                <w:sz w:val="20"/>
                <w:szCs w:val="20"/>
                <w:highlight w:val="green"/>
                <w:lang w:eastAsia="ja-JP"/>
              </w:rPr>
            </w:pPr>
            <w:r w:rsidRPr="00CF0DA7">
              <w:rPr>
                <w:sz w:val="20"/>
                <w:szCs w:val="20"/>
                <w:highlight w:val="green"/>
                <w:lang w:eastAsia="ja-JP"/>
              </w:rPr>
              <w:t>1.</w:t>
            </w:r>
            <w:r w:rsidRPr="00CF0DA7">
              <w:rPr>
                <w:sz w:val="20"/>
                <w:szCs w:val="20"/>
                <w:highlight w:val="green"/>
                <w:lang w:eastAsia="ja-JP"/>
              </w:rPr>
              <w:tab/>
              <w:t xml:space="preserve">As a baseline, broadcast </w:t>
            </w:r>
            <w:proofErr w:type="spellStart"/>
            <w:r w:rsidRPr="00CF0DA7">
              <w:rPr>
                <w:sz w:val="20"/>
                <w:szCs w:val="20"/>
                <w:highlight w:val="green"/>
                <w:lang w:eastAsia="ja-JP"/>
              </w:rPr>
              <w:t>signalling</w:t>
            </w:r>
            <w:proofErr w:type="spellEnd"/>
            <w:r w:rsidRPr="00CF0DA7">
              <w:rPr>
                <w:sz w:val="20"/>
                <w:szCs w:val="20"/>
                <w:highlight w:val="green"/>
                <w:lang w:eastAsia="ja-JP"/>
              </w:rPr>
              <w:t xml:space="preserve"> is used to provide the information on the TN coverage area for UEs supporting NTN.</w:t>
            </w:r>
          </w:p>
          <w:p w14:paraId="7C6391A8" w14:textId="77777777" w:rsidR="004A525E" w:rsidRPr="007926A5" w:rsidRDefault="004A525E" w:rsidP="004A525E">
            <w:pPr>
              <w:spacing w:after="0"/>
              <w:rPr>
                <w:sz w:val="20"/>
                <w:szCs w:val="20"/>
                <w:lang w:eastAsia="ja-JP"/>
              </w:rPr>
            </w:pPr>
            <w:r w:rsidRPr="00CF0DA7">
              <w:rPr>
                <w:sz w:val="20"/>
                <w:szCs w:val="20"/>
                <w:highlight w:val="green"/>
                <w:lang w:eastAsia="ja-JP"/>
              </w:rPr>
              <w:t>2.</w:t>
            </w:r>
            <w:r w:rsidRPr="00CF0DA7">
              <w:rPr>
                <w:sz w:val="20"/>
                <w:szCs w:val="20"/>
                <w:highlight w:val="green"/>
                <w:lang w:eastAsia="ja-JP"/>
              </w:rPr>
              <w:tab/>
              <w:t xml:space="preserve">Also based on the </w:t>
            </w:r>
            <w:proofErr w:type="spellStart"/>
            <w:r w:rsidRPr="00CF0DA7">
              <w:rPr>
                <w:sz w:val="20"/>
                <w:szCs w:val="20"/>
                <w:highlight w:val="green"/>
                <w:lang w:eastAsia="ja-JP"/>
              </w:rPr>
              <w:t>signalling</w:t>
            </w:r>
            <w:proofErr w:type="spellEnd"/>
            <w:r w:rsidRPr="00CF0DA7">
              <w:rPr>
                <w:sz w:val="20"/>
                <w:szCs w:val="20"/>
                <w:highlight w:val="green"/>
                <w:lang w:eastAsia="ja-JP"/>
              </w:rPr>
              <w:t xml:space="preserve"> overhead of the broadcast solution, RAN2 will further consider the option that UE-specific update </w:t>
            </w:r>
            <w:proofErr w:type="gramStart"/>
            <w:r w:rsidRPr="00CF0DA7">
              <w:rPr>
                <w:sz w:val="20"/>
                <w:szCs w:val="20"/>
                <w:highlight w:val="green"/>
                <w:lang w:eastAsia="ja-JP"/>
              </w:rPr>
              <w:t>can be optionally be</w:t>
            </w:r>
            <w:proofErr w:type="gramEnd"/>
            <w:r w:rsidRPr="00CF0DA7">
              <w:rPr>
                <w:sz w:val="20"/>
                <w:szCs w:val="20"/>
                <w:highlight w:val="green"/>
                <w:lang w:eastAsia="ja-JP"/>
              </w:rPr>
              <w:t xml:space="preserve"> provided via dedicated </w:t>
            </w:r>
            <w:proofErr w:type="spellStart"/>
            <w:r w:rsidRPr="00CF0DA7">
              <w:rPr>
                <w:sz w:val="20"/>
                <w:szCs w:val="20"/>
                <w:highlight w:val="green"/>
                <w:lang w:eastAsia="ja-JP"/>
              </w:rPr>
              <w:t>signalling</w:t>
            </w:r>
            <w:proofErr w:type="spellEnd"/>
            <w:r w:rsidRPr="00CF0DA7">
              <w:rPr>
                <w:sz w:val="20"/>
                <w:szCs w:val="20"/>
                <w:highlight w:val="green"/>
                <w:lang w:eastAsia="ja-JP"/>
              </w:rPr>
              <w:t>, overriding the broadcast configuration (FFS if via RRC or higher layers. FFS on the validity time, if provided by RRC)</w:t>
            </w:r>
          </w:p>
          <w:p w14:paraId="12D7D4D8" w14:textId="77777777" w:rsidR="004A525E" w:rsidRPr="007926A5" w:rsidRDefault="004A525E" w:rsidP="004A525E">
            <w:pPr>
              <w:spacing w:after="0"/>
              <w:rPr>
                <w:sz w:val="20"/>
                <w:szCs w:val="20"/>
                <w:lang w:eastAsia="ja-JP"/>
              </w:rPr>
            </w:pPr>
          </w:p>
          <w:p w14:paraId="7D0D0ADA" w14:textId="77777777" w:rsidR="004A525E" w:rsidRPr="00CF0DA7" w:rsidRDefault="004A525E" w:rsidP="004A525E">
            <w:pPr>
              <w:spacing w:after="0"/>
              <w:rPr>
                <w:sz w:val="20"/>
                <w:szCs w:val="20"/>
                <w:highlight w:val="green"/>
                <w:lang w:eastAsia="ja-JP"/>
              </w:rPr>
            </w:pPr>
            <w:r w:rsidRPr="00CF0DA7">
              <w:rPr>
                <w:sz w:val="20"/>
                <w:szCs w:val="20"/>
                <w:highlight w:val="green"/>
                <w:lang w:eastAsia="ja-JP"/>
              </w:rPr>
              <w:t>Agreements:</w:t>
            </w:r>
          </w:p>
          <w:p w14:paraId="786649B9" w14:textId="77777777" w:rsidR="004A525E" w:rsidRPr="007926A5" w:rsidRDefault="004A525E" w:rsidP="004A525E">
            <w:pPr>
              <w:spacing w:after="0"/>
              <w:rPr>
                <w:sz w:val="20"/>
                <w:szCs w:val="20"/>
                <w:lang w:eastAsia="ja-JP"/>
              </w:rPr>
            </w:pPr>
            <w:r w:rsidRPr="00CF0DA7">
              <w:rPr>
                <w:sz w:val="20"/>
                <w:szCs w:val="20"/>
                <w:highlight w:val="green"/>
                <w:lang w:eastAsia="ja-JP"/>
              </w:rPr>
              <w:t>1.</w:t>
            </w:r>
            <w:r w:rsidRPr="00CF0DA7">
              <w:rPr>
                <w:sz w:val="20"/>
                <w:szCs w:val="20"/>
                <w:highlight w:val="green"/>
                <w:lang w:eastAsia="ja-JP"/>
              </w:rPr>
              <w:tab/>
              <w:t>We don’t introduce additional cell reselection prioritization rules for NTN vs TN in Rel-18 (</w:t>
            </w:r>
            <w:proofErr w:type="gramStart"/>
            <w:r w:rsidRPr="00CF0DA7">
              <w:rPr>
                <w:sz w:val="20"/>
                <w:szCs w:val="20"/>
                <w:highlight w:val="green"/>
                <w:lang w:eastAsia="ja-JP"/>
              </w:rPr>
              <w:t>e.g.</w:t>
            </w:r>
            <w:proofErr w:type="gramEnd"/>
            <w:r w:rsidRPr="00CF0DA7">
              <w:rPr>
                <w:sz w:val="20"/>
                <w:szCs w:val="20"/>
                <w:highlight w:val="green"/>
                <w:lang w:eastAsia="ja-JP"/>
              </w:rPr>
              <w:t xml:space="preserve"> per service type, per mobility state, or per UE type) on top of what specified in Rel-17</w:t>
            </w:r>
          </w:p>
          <w:p w14:paraId="07273A38" w14:textId="77777777" w:rsidR="004A525E" w:rsidRPr="007926A5" w:rsidRDefault="004A525E" w:rsidP="004A525E">
            <w:pPr>
              <w:spacing w:after="0"/>
              <w:rPr>
                <w:sz w:val="20"/>
                <w:szCs w:val="20"/>
                <w:lang w:eastAsia="ja-JP"/>
              </w:rPr>
            </w:pPr>
          </w:p>
          <w:p w14:paraId="06F11B23" w14:textId="77777777" w:rsidR="004A525E" w:rsidRPr="007926A5" w:rsidRDefault="004A525E" w:rsidP="004A525E">
            <w:pPr>
              <w:spacing w:after="0"/>
              <w:rPr>
                <w:sz w:val="20"/>
                <w:szCs w:val="20"/>
                <w:lang w:eastAsia="ja-JP"/>
              </w:rPr>
            </w:pPr>
            <w:r w:rsidRPr="007926A5">
              <w:rPr>
                <w:sz w:val="20"/>
                <w:szCs w:val="20"/>
                <w:lang w:eastAsia="ja-JP"/>
              </w:rPr>
              <w:t>Agreements:</w:t>
            </w:r>
          </w:p>
          <w:p w14:paraId="6AAAC84E" w14:textId="77777777" w:rsidR="004A525E" w:rsidRPr="007926A5" w:rsidRDefault="004A525E" w:rsidP="004A525E">
            <w:pPr>
              <w:spacing w:after="0"/>
              <w:rPr>
                <w:sz w:val="20"/>
                <w:szCs w:val="20"/>
                <w:lang w:eastAsia="ja-JP"/>
              </w:rPr>
            </w:pPr>
            <w:r w:rsidRPr="007926A5">
              <w:rPr>
                <w:sz w:val="20"/>
                <w:szCs w:val="20"/>
                <w:lang w:eastAsia="ja-JP"/>
              </w:rPr>
              <w:t>1.</w:t>
            </w:r>
            <w:r w:rsidRPr="007926A5">
              <w:rPr>
                <w:sz w:val="20"/>
                <w:szCs w:val="20"/>
                <w:lang w:eastAsia="ja-JP"/>
              </w:rPr>
              <w:tab/>
              <w:t>In R18, for earth-moving system, satellite with steerable beam is not considered as part of mobility enhancement in NTN.</w:t>
            </w:r>
          </w:p>
          <w:p w14:paraId="34D35A30" w14:textId="77777777" w:rsidR="004A525E" w:rsidRPr="007926A5" w:rsidRDefault="004A525E" w:rsidP="004A525E">
            <w:pPr>
              <w:spacing w:after="0"/>
              <w:rPr>
                <w:sz w:val="20"/>
                <w:szCs w:val="20"/>
                <w:lang w:eastAsia="ja-JP"/>
              </w:rPr>
            </w:pPr>
            <w:r w:rsidRPr="007926A5">
              <w:rPr>
                <w:sz w:val="20"/>
                <w:szCs w:val="20"/>
                <w:lang w:eastAsia="ja-JP"/>
              </w:rPr>
              <w:t>2.</w:t>
            </w:r>
            <w:r w:rsidRPr="007926A5">
              <w:rPr>
                <w:sz w:val="20"/>
                <w:szCs w:val="20"/>
                <w:lang w:eastAsia="ja-JP"/>
              </w:rPr>
              <w:tab/>
            </w:r>
            <w:r w:rsidRPr="00CF0DA7">
              <w:rPr>
                <w:sz w:val="20"/>
                <w:szCs w:val="20"/>
                <w:highlight w:val="green"/>
                <w:lang w:eastAsia="ja-JP"/>
              </w:rPr>
              <w:t>A serving cell reference location and a distance threshold/radius will be broadcast for earth-moving cell</w:t>
            </w:r>
            <w:r w:rsidRPr="007926A5">
              <w:rPr>
                <w:sz w:val="20"/>
                <w:szCs w:val="20"/>
                <w:lang w:eastAsia="ja-JP"/>
              </w:rPr>
              <w:t xml:space="preserve">. </w:t>
            </w:r>
            <w:r w:rsidRPr="00CF0DA7">
              <w:rPr>
                <w:sz w:val="20"/>
                <w:szCs w:val="20"/>
                <w:highlight w:val="yellow"/>
                <w:lang w:eastAsia="ja-JP"/>
              </w:rPr>
              <w:t>FFS on whether the R17 IEs are reused or not. FFS on whether additional information needs to be broadcast to inform the UE how the reference location moves over time or if this can be derived from other information (</w:t>
            </w:r>
            <w:proofErr w:type="gramStart"/>
            <w:r w:rsidRPr="00CF0DA7">
              <w:rPr>
                <w:sz w:val="20"/>
                <w:szCs w:val="20"/>
                <w:highlight w:val="yellow"/>
                <w:lang w:eastAsia="ja-JP"/>
              </w:rPr>
              <w:t>e.g.</w:t>
            </w:r>
            <w:proofErr w:type="gramEnd"/>
            <w:r w:rsidRPr="00CF0DA7">
              <w:rPr>
                <w:sz w:val="20"/>
                <w:szCs w:val="20"/>
                <w:highlight w:val="yellow"/>
                <w:lang w:eastAsia="ja-JP"/>
              </w:rPr>
              <w:t xml:space="preserve"> Epoch time and ephemeris).</w:t>
            </w:r>
          </w:p>
          <w:p w14:paraId="2B37B4F6" w14:textId="77777777" w:rsidR="004A525E" w:rsidRPr="007926A5" w:rsidRDefault="004A525E" w:rsidP="004A525E">
            <w:pPr>
              <w:spacing w:after="0"/>
              <w:rPr>
                <w:sz w:val="20"/>
                <w:szCs w:val="20"/>
                <w:lang w:eastAsia="ja-JP"/>
              </w:rPr>
            </w:pPr>
            <w:r w:rsidRPr="007926A5">
              <w:rPr>
                <w:sz w:val="20"/>
                <w:szCs w:val="20"/>
                <w:lang w:eastAsia="ja-JP"/>
              </w:rPr>
              <w:t>3.</w:t>
            </w:r>
            <w:r w:rsidRPr="007926A5">
              <w:rPr>
                <w:sz w:val="20"/>
                <w:szCs w:val="20"/>
                <w:lang w:eastAsia="ja-JP"/>
              </w:rPr>
              <w:tab/>
              <w:t>For cell selection/reselection, location-based measurement initiation is supported in earth-moving cell</w:t>
            </w:r>
          </w:p>
          <w:p w14:paraId="13260CD3" w14:textId="77777777" w:rsidR="004A525E" w:rsidRPr="007926A5" w:rsidRDefault="004A525E" w:rsidP="004A525E">
            <w:pPr>
              <w:spacing w:after="0"/>
              <w:rPr>
                <w:sz w:val="20"/>
                <w:szCs w:val="20"/>
                <w:lang w:eastAsia="ja-JP"/>
              </w:rPr>
            </w:pPr>
          </w:p>
          <w:p w14:paraId="35C6AAC2" w14:textId="77777777" w:rsidR="004A525E" w:rsidRPr="007926A5" w:rsidRDefault="004A525E" w:rsidP="004A525E">
            <w:pPr>
              <w:spacing w:after="0"/>
              <w:rPr>
                <w:sz w:val="20"/>
                <w:szCs w:val="20"/>
                <w:lang w:eastAsia="ja-JP"/>
              </w:rPr>
            </w:pPr>
            <w:r w:rsidRPr="007926A5">
              <w:rPr>
                <w:sz w:val="20"/>
                <w:szCs w:val="20"/>
                <w:lang w:eastAsia="ja-JP"/>
              </w:rPr>
              <w:t>Agreements:</w:t>
            </w:r>
          </w:p>
          <w:p w14:paraId="21919F7B" w14:textId="77777777" w:rsidR="004A525E" w:rsidRPr="007926A5" w:rsidRDefault="004A525E" w:rsidP="004A525E">
            <w:pPr>
              <w:spacing w:after="0"/>
              <w:rPr>
                <w:sz w:val="20"/>
                <w:szCs w:val="20"/>
                <w:lang w:eastAsia="ja-JP"/>
              </w:rPr>
            </w:pPr>
            <w:r w:rsidRPr="00CF0DA7">
              <w:rPr>
                <w:sz w:val="20"/>
                <w:szCs w:val="20"/>
                <w:highlight w:val="green"/>
                <w:lang w:eastAsia="ja-JP"/>
              </w:rPr>
              <w:t>1.</w:t>
            </w:r>
            <w:r w:rsidRPr="00CF0DA7">
              <w:rPr>
                <w:sz w:val="20"/>
                <w:szCs w:val="20"/>
                <w:highlight w:val="green"/>
                <w:lang w:eastAsia="ja-JP"/>
              </w:rPr>
              <w:tab/>
              <w:t>For earth-moving cell, the location-based cell measurement rules of quasi-fixed cell is reused, i.e., for cell reselection in earth-moving cell, UE initiates measurements when its location to serving cell reference location is larger than the configured distance threshold.</w:t>
            </w:r>
          </w:p>
          <w:p w14:paraId="6AA004B4" w14:textId="77777777" w:rsidR="004A525E" w:rsidRPr="007926A5" w:rsidRDefault="004A525E" w:rsidP="004A525E">
            <w:pPr>
              <w:spacing w:after="0"/>
              <w:rPr>
                <w:sz w:val="20"/>
                <w:szCs w:val="20"/>
                <w:lang w:eastAsia="ja-JP"/>
              </w:rPr>
            </w:pPr>
          </w:p>
          <w:p w14:paraId="17E1511F" w14:textId="77777777" w:rsidR="004A525E" w:rsidRPr="007926A5" w:rsidRDefault="004A525E" w:rsidP="004A525E">
            <w:pPr>
              <w:spacing w:after="0"/>
              <w:rPr>
                <w:sz w:val="20"/>
                <w:szCs w:val="20"/>
                <w:lang w:eastAsia="ja-JP"/>
              </w:rPr>
            </w:pPr>
            <w:r w:rsidRPr="007926A5">
              <w:rPr>
                <w:sz w:val="20"/>
                <w:szCs w:val="20"/>
                <w:lang w:eastAsia="ja-JP"/>
              </w:rPr>
              <w:t>Agreements:</w:t>
            </w:r>
          </w:p>
          <w:p w14:paraId="39F1E309" w14:textId="77777777" w:rsidR="004A525E" w:rsidRPr="007926A5" w:rsidRDefault="004A525E" w:rsidP="004A525E">
            <w:pPr>
              <w:spacing w:after="0"/>
              <w:rPr>
                <w:sz w:val="20"/>
                <w:szCs w:val="20"/>
                <w:lang w:eastAsia="ja-JP"/>
              </w:rPr>
            </w:pPr>
            <w:r w:rsidRPr="007926A5">
              <w:rPr>
                <w:sz w:val="20"/>
                <w:szCs w:val="20"/>
                <w:lang w:eastAsia="ja-JP"/>
              </w:rPr>
              <w:t>1.</w:t>
            </w:r>
            <w:r w:rsidRPr="007926A5">
              <w:rPr>
                <w:sz w:val="20"/>
                <w:szCs w:val="20"/>
                <w:lang w:eastAsia="ja-JP"/>
              </w:rPr>
              <w:tab/>
              <w:t xml:space="preserve">Continue in the next meeting, to show the possible </w:t>
            </w:r>
            <w:proofErr w:type="spellStart"/>
            <w:r w:rsidRPr="007926A5">
              <w:rPr>
                <w:sz w:val="20"/>
                <w:szCs w:val="20"/>
                <w:lang w:eastAsia="ja-JP"/>
              </w:rPr>
              <w:t>signalling</w:t>
            </w:r>
            <w:proofErr w:type="spellEnd"/>
            <w:r w:rsidRPr="007926A5">
              <w:rPr>
                <w:sz w:val="20"/>
                <w:szCs w:val="20"/>
                <w:lang w:eastAsia="ja-JP"/>
              </w:rPr>
              <w:t xml:space="preserve"> gain of the proposal to have some common (C)HO configuration. FFS the number of cells that could be </w:t>
            </w:r>
            <w:proofErr w:type="spellStart"/>
            <w:r w:rsidRPr="007926A5">
              <w:rPr>
                <w:sz w:val="20"/>
                <w:szCs w:val="20"/>
                <w:lang w:eastAsia="ja-JP"/>
              </w:rPr>
              <w:t>signalled</w:t>
            </w:r>
            <w:proofErr w:type="spellEnd"/>
            <w:r w:rsidRPr="007926A5">
              <w:rPr>
                <w:sz w:val="20"/>
                <w:szCs w:val="20"/>
                <w:lang w:eastAsia="ja-JP"/>
              </w:rPr>
              <w:t xml:space="preserve">. FFS whether broadcast or groupcast </w:t>
            </w:r>
            <w:proofErr w:type="spellStart"/>
            <w:r w:rsidRPr="007926A5">
              <w:rPr>
                <w:sz w:val="20"/>
                <w:szCs w:val="20"/>
                <w:lang w:eastAsia="ja-JP"/>
              </w:rPr>
              <w:t>signalling</w:t>
            </w:r>
            <w:proofErr w:type="spellEnd"/>
            <w:r w:rsidRPr="007926A5">
              <w:rPr>
                <w:sz w:val="20"/>
                <w:szCs w:val="20"/>
                <w:lang w:eastAsia="ja-JP"/>
              </w:rPr>
              <w:t xml:space="preserve"> could be used.</w:t>
            </w:r>
          </w:p>
          <w:p w14:paraId="0F9FA2C5" w14:textId="77777777" w:rsidR="004A525E" w:rsidRPr="007926A5" w:rsidRDefault="004A525E" w:rsidP="004A525E">
            <w:pPr>
              <w:spacing w:after="0"/>
              <w:rPr>
                <w:sz w:val="20"/>
                <w:szCs w:val="20"/>
                <w:lang w:eastAsia="ja-JP"/>
              </w:rPr>
            </w:pPr>
            <w:r w:rsidRPr="007926A5">
              <w:rPr>
                <w:sz w:val="20"/>
                <w:szCs w:val="20"/>
                <w:lang w:eastAsia="ja-JP"/>
              </w:rPr>
              <w:t>2.</w:t>
            </w:r>
            <w:r w:rsidRPr="007926A5">
              <w:rPr>
                <w:sz w:val="20"/>
                <w:szCs w:val="20"/>
                <w:lang w:eastAsia="ja-JP"/>
              </w:rPr>
              <w:tab/>
              <w:t xml:space="preserve">For location-based CHO for earth-moving cells we follow the solution being investigated for cell reselection to allow the UE to derive the serving cell’s reference locations as the cells move. FFS whether the same mechanism can also be used for the candidate cell’s reference </w:t>
            </w:r>
            <w:proofErr w:type="gramStart"/>
            <w:r w:rsidRPr="007926A5">
              <w:rPr>
                <w:sz w:val="20"/>
                <w:szCs w:val="20"/>
                <w:lang w:eastAsia="ja-JP"/>
              </w:rPr>
              <w:t>location</w:t>
            </w:r>
            <w:proofErr w:type="gramEnd"/>
          </w:p>
          <w:p w14:paraId="3C286A9C" w14:textId="77777777" w:rsidR="004A525E" w:rsidRPr="007926A5" w:rsidRDefault="004A525E" w:rsidP="004A525E">
            <w:pPr>
              <w:spacing w:after="0"/>
              <w:rPr>
                <w:sz w:val="20"/>
                <w:szCs w:val="20"/>
                <w:lang w:eastAsia="ja-JP"/>
              </w:rPr>
            </w:pPr>
          </w:p>
          <w:p w14:paraId="758EAAC1" w14:textId="77777777" w:rsidR="004A525E" w:rsidRPr="007926A5" w:rsidRDefault="004A525E" w:rsidP="004A525E">
            <w:pPr>
              <w:spacing w:after="0"/>
              <w:rPr>
                <w:sz w:val="20"/>
                <w:szCs w:val="20"/>
                <w:lang w:eastAsia="ja-JP"/>
              </w:rPr>
            </w:pPr>
            <w:r w:rsidRPr="007926A5">
              <w:rPr>
                <w:sz w:val="20"/>
                <w:szCs w:val="20"/>
                <w:lang w:eastAsia="ja-JP"/>
              </w:rPr>
              <w:t xml:space="preserve">Working Assumption: </w:t>
            </w:r>
          </w:p>
          <w:p w14:paraId="75030277" w14:textId="5CB85CB0" w:rsidR="00194DA2" w:rsidRPr="004A525E" w:rsidRDefault="004A525E" w:rsidP="004A525E">
            <w:pPr>
              <w:spacing w:after="0"/>
              <w:rPr>
                <w:sz w:val="20"/>
                <w:szCs w:val="20"/>
                <w:lang w:eastAsia="ja-JP"/>
              </w:rPr>
            </w:pPr>
            <w:r w:rsidRPr="007926A5">
              <w:rPr>
                <w:sz w:val="20"/>
                <w:szCs w:val="20"/>
                <w:lang w:eastAsia="ja-JP"/>
              </w:rPr>
              <w:t>1.</w:t>
            </w:r>
            <w:r w:rsidRPr="007926A5">
              <w:rPr>
                <w:sz w:val="20"/>
                <w:szCs w:val="20"/>
                <w:lang w:eastAsia="ja-JP"/>
              </w:rPr>
              <w:tab/>
            </w:r>
            <w:r w:rsidRPr="00CF0DA7">
              <w:rPr>
                <w:sz w:val="20"/>
                <w:szCs w:val="20"/>
                <w:highlight w:val="green"/>
                <w:lang w:eastAsia="ja-JP"/>
              </w:rPr>
              <w:t xml:space="preserve">In quasi-earth fixed cell case, for hard satellite switch in the same SSB frequency and same </w:t>
            </w:r>
            <w:proofErr w:type="spellStart"/>
            <w:r w:rsidRPr="00CF0DA7">
              <w:rPr>
                <w:sz w:val="20"/>
                <w:szCs w:val="20"/>
                <w:highlight w:val="green"/>
                <w:lang w:eastAsia="ja-JP"/>
              </w:rPr>
              <w:t>gNB</w:t>
            </w:r>
            <w:proofErr w:type="spellEnd"/>
            <w:r w:rsidRPr="00CF0DA7">
              <w:rPr>
                <w:sz w:val="20"/>
                <w:szCs w:val="20"/>
                <w:highlight w:val="green"/>
                <w:lang w:eastAsia="ja-JP"/>
              </w:rPr>
              <w:t xml:space="preserve"> (no key change), satellite switching without PCI changing (not requiring L3 mobility) is supported.</w:t>
            </w:r>
          </w:p>
        </w:tc>
      </w:tr>
    </w:tbl>
    <w:p w14:paraId="66DC43A7" w14:textId="1C51A78B" w:rsidR="00194DA2" w:rsidRDefault="00194DA2" w:rsidP="00194DA2">
      <w:pPr>
        <w:spacing w:after="180"/>
        <w:jc w:val="both"/>
        <w:rPr>
          <w:iCs/>
          <w:color w:val="000000" w:themeColor="text1"/>
        </w:rPr>
      </w:pPr>
    </w:p>
    <w:p w14:paraId="6B526AA4" w14:textId="77777777" w:rsidR="00B254E5" w:rsidRDefault="00B254E5" w:rsidP="00B254E5">
      <w:pPr>
        <w:spacing w:after="187"/>
        <w:jc w:val="both"/>
        <w:rPr>
          <w:iCs/>
          <w:color w:val="000000" w:themeColor="text1"/>
        </w:rPr>
      </w:pPr>
      <w:r>
        <w:rPr>
          <w:iCs/>
          <w:color w:val="000000" w:themeColor="text1"/>
        </w:rPr>
        <w:t xml:space="preserve">According to the RAN2 agreements, the open issues are not concretely addressed in RAN2 for NTN-NTN mobility with earth moving cell, NTN-TN mobility, group-HO, RACH-less HO, soft </w:t>
      </w:r>
      <w:r w:rsidRPr="00B254E5">
        <w:rPr>
          <w:iCs/>
          <w:color w:val="000000" w:themeColor="text1"/>
        </w:rPr>
        <w:t xml:space="preserve">satellite </w:t>
      </w:r>
      <w:r w:rsidRPr="00B254E5">
        <w:rPr>
          <w:iCs/>
          <w:color w:val="000000" w:themeColor="text1"/>
        </w:rPr>
        <w:lastRenderedPageBreak/>
        <w:t>switching</w:t>
      </w:r>
      <w:r>
        <w:rPr>
          <w:iCs/>
          <w:color w:val="000000" w:themeColor="text1"/>
        </w:rPr>
        <w:t xml:space="preserve"> (</w:t>
      </w:r>
      <w:r w:rsidRPr="00B254E5">
        <w:rPr>
          <w:iCs/>
          <w:color w:val="000000" w:themeColor="text1"/>
        </w:rPr>
        <w:t>continuity enhancements</w:t>
      </w:r>
      <w:r>
        <w:rPr>
          <w:iCs/>
          <w:color w:val="000000" w:themeColor="text1"/>
        </w:rPr>
        <w:t xml:space="preserve">), and so on. Thus, in our view RAN4 RRM work can start after RAN2 has more conclusion on these open issues. However, at least, we can agree with RAN understanding </w:t>
      </w:r>
      <w:proofErr w:type="gramStart"/>
      <w:r>
        <w:rPr>
          <w:iCs/>
          <w:color w:val="000000" w:themeColor="text1"/>
        </w:rPr>
        <w:t>that</w:t>
      </w:r>
      <w:proofErr w:type="gramEnd"/>
      <w:r>
        <w:rPr>
          <w:iCs/>
          <w:color w:val="000000" w:themeColor="text1"/>
        </w:rPr>
        <w:t xml:space="preserve"> </w:t>
      </w:r>
    </w:p>
    <w:p w14:paraId="7A1C3168" w14:textId="1B8E6E6F" w:rsidR="00B254E5" w:rsidRPr="00B254E5" w:rsidRDefault="00B254E5" w:rsidP="00B254E5">
      <w:pPr>
        <w:pStyle w:val="ListParagraph"/>
        <w:numPr>
          <w:ilvl w:val="0"/>
          <w:numId w:val="41"/>
        </w:numPr>
        <w:spacing w:after="187" w:line="240" w:lineRule="auto"/>
        <w:ind w:firstLineChars="0"/>
        <w:jc w:val="both"/>
        <w:rPr>
          <w:rFonts w:eastAsia="Times New Roman"/>
          <w:iCs/>
          <w:snapToGrid/>
          <w:color w:val="000000" w:themeColor="text1"/>
          <w:sz w:val="24"/>
          <w:szCs w:val="24"/>
          <w:lang w:val="en-US" w:eastAsia="zh-CN"/>
        </w:rPr>
      </w:pPr>
      <w:r w:rsidRPr="00B254E5">
        <w:rPr>
          <w:rFonts w:eastAsia="Times New Roman"/>
          <w:iCs/>
          <w:snapToGrid/>
          <w:color w:val="000000" w:themeColor="text1"/>
          <w:sz w:val="24"/>
          <w:szCs w:val="24"/>
          <w:lang w:val="en-US" w:eastAsia="zh-CN"/>
        </w:rPr>
        <w:t xml:space="preserve">the RRM requirement for timing based and location-based cell reselection for quasi-earth fixed cell in Rel-17 can be considered as the starting point for NTN-NTN cell reselection requirement with earth moving </w:t>
      </w:r>
      <w:proofErr w:type="gramStart"/>
      <w:r w:rsidRPr="00B254E5">
        <w:rPr>
          <w:rFonts w:eastAsia="Times New Roman"/>
          <w:iCs/>
          <w:snapToGrid/>
          <w:color w:val="000000" w:themeColor="text1"/>
          <w:sz w:val="24"/>
          <w:szCs w:val="24"/>
          <w:lang w:val="en-US" w:eastAsia="zh-CN"/>
        </w:rPr>
        <w:t>cell</w:t>
      </w:r>
      <w:proofErr w:type="gramEnd"/>
      <w:r w:rsidRPr="00B254E5">
        <w:rPr>
          <w:rFonts w:eastAsia="Times New Roman"/>
          <w:iCs/>
          <w:snapToGrid/>
          <w:color w:val="000000" w:themeColor="text1"/>
          <w:sz w:val="24"/>
          <w:szCs w:val="24"/>
          <w:lang w:val="en-US" w:eastAsia="zh-CN"/>
        </w:rPr>
        <w:t xml:space="preserve"> </w:t>
      </w:r>
    </w:p>
    <w:p w14:paraId="576EC1DD" w14:textId="63F43EE9" w:rsidR="004A525E" w:rsidRDefault="00241ACF" w:rsidP="00B254E5">
      <w:pPr>
        <w:spacing w:after="187"/>
        <w:jc w:val="both"/>
        <w:rPr>
          <w:iCs/>
          <w:color w:val="000000" w:themeColor="text1"/>
        </w:rPr>
      </w:pPr>
      <w:r>
        <w:rPr>
          <w:rFonts w:hint="eastAsia"/>
          <w:iCs/>
          <w:color w:val="000000" w:themeColor="text1"/>
        </w:rPr>
        <w:t>For instance</w:t>
      </w:r>
      <w:r w:rsidRPr="00241ACF">
        <w:rPr>
          <w:rFonts w:hint="eastAsia"/>
          <w:iCs/>
          <w:color w:val="000000" w:themeColor="text1"/>
        </w:rPr>
        <w:t>,</w:t>
      </w:r>
      <w:r w:rsidRPr="00241ACF">
        <w:rPr>
          <w:iCs/>
          <w:color w:val="000000" w:themeColor="text1"/>
        </w:rPr>
        <w:t xml:space="preserve"> </w:t>
      </w:r>
      <w:r>
        <w:rPr>
          <w:iCs/>
          <w:color w:val="000000" w:themeColor="text1"/>
        </w:rPr>
        <w:t xml:space="preserve">as RAN2 agreed, </w:t>
      </w:r>
      <w:r w:rsidRPr="00241ACF">
        <w:rPr>
          <w:iCs/>
          <w:color w:val="000000" w:themeColor="text1"/>
        </w:rPr>
        <w:t xml:space="preserve">broadcast </w:t>
      </w:r>
      <w:proofErr w:type="spellStart"/>
      <w:r w:rsidRPr="00241ACF">
        <w:rPr>
          <w:iCs/>
          <w:color w:val="000000" w:themeColor="text1"/>
        </w:rPr>
        <w:t>signalling</w:t>
      </w:r>
      <w:proofErr w:type="spellEnd"/>
      <w:r w:rsidRPr="00241ACF">
        <w:rPr>
          <w:iCs/>
          <w:color w:val="000000" w:themeColor="text1"/>
        </w:rPr>
        <w:t xml:space="preserve"> is used to provide the information on the TN coverage area for UEs supporting NTN, in earth-moving system,</w:t>
      </w:r>
      <w:r>
        <w:rPr>
          <w:iCs/>
          <w:color w:val="000000" w:themeColor="text1"/>
        </w:rPr>
        <w:t xml:space="preserve"> there is some coverage discontinuity issue, UE may need to prioritize the TN measurement to keep the connection continuity, </w:t>
      </w:r>
      <w:r w:rsidR="00F04B73">
        <w:rPr>
          <w:iCs/>
          <w:color w:val="000000" w:themeColor="text1"/>
        </w:rPr>
        <w:t xml:space="preserve">as </w:t>
      </w:r>
      <w:r>
        <w:rPr>
          <w:iCs/>
          <w:color w:val="000000" w:themeColor="text1"/>
        </w:rPr>
        <w:t>shown in the following figure. Similarly, RAN2 also mentioned soft HO in RAN2#120 meeting, and in our understanding, if soft HO is used in this WI, it would be likely to configure on the cell pair of same satellite type or GSO satellites. But such discussion may still need wait for more conclusions from RAN2.</w:t>
      </w:r>
    </w:p>
    <w:p w14:paraId="298BB35A" w14:textId="0B3FEA43" w:rsidR="00241ACF" w:rsidRPr="00241ACF" w:rsidRDefault="00241ACF" w:rsidP="00241ACF">
      <w:pPr>
        <w:spacing w:after="187"/>
        <w:jc w:val="center"/>
        <w:rPr>
          <w:iCs/>
          <w:color w:val="000000" w:themeColor="text1"/>
        </w:rPr>
      </w:pPr>
      <w:r w:rsidRPr="00241ACF">
        <w:rPr>
          <w:iCs/>
          <w:noProof/>
          <w:color w:val="000000" w:themeColor="text1"/>
        </w:rPr>
        <w:drawing>
          <wp:inline distT="0" distB="0" distL="0" distR="0" wp14:anchorId="2E0ABD32" wp14:editId="1D976FCA">
            <wp:extent cx="2975547" cy="2031546"/>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88052" cy="2040084"/>
                    </a:xfrm>
                    <a:prstGeom prst="rect">
                      <a:avLst/>
                    </a:prstGeom>
                  </pic:spPr>
                </pic:pic>
              </a:graphicData>
            </a:graphic>
          </wp:inline>
        </w:drawing>
      </w:r>
    </w:p>
    <w:p w14:paraId="28970E3A" w14:textId="391E389D" w:rsidR="006E7A02" w:rsidRPr="006E7A02" w:rsidRDefault="00B254E5" w:rsidP="00B254E5">
      <w:pPr>
        <w:spacing w:after="187"/>
        <w:jc w:val="both"/>
        <w:rPr>
          <w:b/>
          <w:bCs/>
          <w:i/>
          <w:color w:val="000000" w:themeColor="text1"/>
        </w:rPr>
      </w:pPr>
      <w:r w:rsidRPr="006E7A02">
        <w:rPr>
          <w:b/>
          <w:bCs/>
          <w:i/>
          <w:color w:val="000000" w:themeColor="text1"/>
        </w:rPr>
        <w:t xml:space="preserve">Proposal 2: </w:t>
      </w:r>
    </w:p>
    <w:p w14:paraId="78E7EDE7" w14:textId="77777777" w:rsidR="006E7A02" w:rsidRPr="006E7A02" w:rsidRDefault="00B254E5" w:rsidP="00B254E5">
      <w:pPr>
        <w:spacing w:after="187"/>
        <w:jc w:val="both"/>
        <w:rPr>
          <w:b/>
          <w:bCs/>
          <w:i/>
          <w:color w:val="000000" w:themeColor="text1"/>
        </w:rPr>
      </w:pPr>
      <w:r w:rsidRPr="006E7A02">
        <w:rPr>
          <w:b/>
          <w:bCs/>
          <w:i/>
          <w:color w:val="000000" w:themeColor="text1"/>
        </w:rPr>
        <w:t xml:space="preserve">For </w:t>
      </w:r>
      <w:r w:rsidRPr="006E7A02">
        <w:rPr>
          <w:b/>
          <w:bCs/>
          <w:i/>
        </w:rPr>
        <w:t>NTN-TN and NTN-NTN mobility and service continuity enhancements,</w:t>
      </w:r>
      <w:r w:rsidRPr="006E7A02">
        <w:rPr>
          <w:b/>
          <w:bCs/>
          <w:i/>
          <w:color w:val="000000" w:themeColor="text1"/>
        </w:rPr>
        <w:t xml:space="preserve"> RAN4 RRM work can start after RAN2 has more conclusions. </w:t>
      </w:r>
    </w:p>
    <w:p w14:paraId="2B2E7EAF" w14:textId="79812C31" w:rsidR="006E7A02" w:rsidRPr="006E7A02" w:rsidRDefault="006E7A02" w:rsidP="00B254E5">
      <w:pPr>
        <w:spacing w:after="187"/>
        <w:jc w:val="both"/>
        <w:rPr>
          <w:b/>
          <w:bCs/>
          <w:i/>
          <w:color w:val="000000" w:themeColor="text1"/>
        </w:rPr>
      </w:pPr>
      <w:r w:rsidRPr="006E7A02">
        <w:rPr>
          <w:b/>
          <w:bCs/>
          <w:i/>
          <w:color w:val="000000" w:themeColor="text1"/>
        </w:rPr>
        <w:t>In addition, RAN4 to agree:</w:t>
      </w:r>
    </w:p>
    <w:p w14:paraId="12FED81D" w14:textId="5974506D" w:rsidR="006E7A02" w:rsidRPr="006E7A02" w:rsidRDefault="006E7A02" w:rsidP="006E7A02">
      <w:pPr>
        <w:pStyle w:val="ListParagraph"/>
        <w:numPr>
          <w:ilvl w:val="0"/>
          <w:numId w:val="41"/>
        </w:numPr>
        <w:spacing w:after="187" w:line="240" w:lineRule="auto"/>
        <w:ind w:firstLineChars="0"/>
        <w:jc w:val="both"/>
        <w:rPr>
          <w:rFonts w:eastAsia="Times New Roman"/>
          <w:b/>
          <w:bCs/>
          <w:i/>
          <w:snapToGrid/>
          <w:color w:val="000000" w:themeColor="text1"/>
          <w:sz w:val="24"/>
          <w:szCs w:val="24"/>
          <w:lang w:val="en-US" w:eastAsia="zh-CN"/>
        </w:rPr>
      </w:pPr>
      <w:r w:rsidRPr="006E7A02">
        <w:rPr>
          <w:rFonts w:eastAsia="Times New Roman"/>
          <w:b/>
          <w:bCs/>
          <w:i/>
          <w:snapToGrid/>
          <w:color w:val="000000" w:themeColor="text1"/>
          <w:sz w:val="24"/>
          <w:szCs w:val="24"/>
          <w:lang w:val="en-US" w:eastAsia="zh-CN"/>
        </w:rPr>
        <w:t>the RRM requirement for timing based and location-based cell reselection for quasi-earth fixed cell in Rel-17 can be considered as the starting point for NTN-NTN cell reselection requirement with earth moving cell</w:t>
      </w:r>
      <w:r w:rsidR="00D276C3">
        <w:rPr>
          <w:rFonts w:eastAsia="Times New Roman"/>
          <w:b/>
          <w:bCs/>
          <w:i/>
          <w:snapToGrid/>
          <w:color w:val="000000" w:themeColor="text1"/>
          <w:sz w:val="24"/>
          <w:szCs w:val="24"/>
          <w:lang w:val="en-US" w:eastAsia="zh-CN"/>
        </w:rPr>
        <w:t>.</w:t>
      </w:r>
      <w:r w:rsidRPr="006E7A02">
        <w:rPr>
          <w:rFonts w:eastAsia="Times New Roman"/>
          <w:b/>
          <w:bCs/>
          <w:i/>
          <w:snapToGrid/>
          <w:color w:val="000000" w:themeColor="text1"/>
          <w:sz w:val="24"/>
          <w:szCs w:val="24"/>
          <w:lang w:val="en-US" w:eastAsia="zh-CN"/>
        </w:rPr>
        <w:t xml:space="preserve"> </w:t>
      </w:r>
    </w:p>
    <w:p w14:paraId="4F729576" w14:textId="5000106F" w:rsidR="00E356F0" w:rsidRDefault="00E356F0" w:rsidP="00E356F0">
      <w:pPr>
        <w:pStyle w:val="Heading1"/>
        <w:numPr>
          <w:ilvl w:val="0"/>
          <w:numId w:val="10"/>
        </w:numPr>
        <w:pBdr>
          <w:top w:val="single" w:sz="12" w:space="2" w:color="auto"/>
        </w:pBdr>
        <w:jc w:val="both"/>
        <w:rPr>
          <w:sz w:val="32"/>
        </w:rPr>
      </w:pPr>
      <w:r>
        <w:rPr>
          <w:sz w:val="32"/>
        </w:rPr>
        <w:t xml:space="preserve">Discussion </w:t>
      </w:r>
      <w:r w:rsidR="00CA09C0">
        <w:rPr>
          <w:sz w:val="32"/>
        </w:rPr>
        <w:t>on RACH-less HO requirement</w:t>
      </w:r>
    </w:p>
    <w:p w14:paraId="27015930" w14:textId="07703B65" w:rsidR="00E356F0" w:rsidRDefault="00770B89" w:rsidP="0031419F">
      <w:pPr>
        <w:jc w:val="both"/>
        <w:rPr>
          <w:lang w:val="en-GB"/>
        </w:rPr>
      </w:pPr>
      <w:r>
        <w:rPr>
          <w:rFonts w:hint="eastAsia"/>
          <w:lang w:val="en-GB"/>
        </w:rPr>
        <w:t>In</w:t>
      </w:r>
      <w:r w:rsidRPr="0031419F">
        <w:rPr>
          <w:lang w:val="en-GB"/>
        </w:rPr>
        <w:t xml:space="preserve"> last RAN4#106 meeting, RAN4 replied in the LS that: There are no existing RAN4 NR RRM requirements for RACH-less HO and additional RAN4 work will be required to introduce requirements and identify side conditions.</w:t>
      </w:r>
      <w:r w:rsidR="0031419F">
        <w:rPr>
          <w:lang w:val="en-GB"/>
        </w:rPr>
        <w:t xml:space="preserve"> </w:t>
      </w:r>
    </w:p>
    <w:p w14:paraId="4C3FC433" w14:textId="77777777" w:rsidR="0031419F" w:rsidRDefault="0031419F" w:rsidP="0031419F">
      <w:pPr>
        <w:jc w:val="both"/>
        <w:rPr>
          <w:lang w:val="en-GB"/>
        </w:rPr>
      </w:pPr>
    </w:p>
    <w:p w14:paraId="2B30845F" w14:textId="53B58B3F" w:rsidR="0031419F" w:rsidRDefault="0031419F" w:rsidP="0031419F">
      <w:pPr>
        <w:jc w:val="both"/>
        <w:rPr>
          <w:lang w:val="en-GB"/>
        </w:rPr>
      </w:pPr>
      <w:r>
        <w:rPr>
          <w:lang w:val="en-GB"/>
        </w:rPr>
        <w:t>In LTE, we have RACH-less HO requirement as following:</w:t>
      </w:r>
    </w:p>
    <w:tbl>
      <w:tblPr>
        <w:tblStyle w:val="TableGrid"/>
        <w:tblW w:w="0" w:type="auto"/>
        <w:tblLook w:val="04A0" w:firstRow="1" w:lastRow="0" w:firstColumn="1" w:lastColumn="0" w:noHBand="0" w:noVBand="1"/>
      </w:tblPr>
      <w:tblGrid>
        <w:gridCol w:w="9629"/>
      </w:tblGrid>
      <w:tr w:rsidR="00186961" w14:paraId="7AB10AF9" w14:textId="77777777" w:rsidTr="00186961">
        <w:tc>
          <w:tcPr>
            <w:tcW w:w="9629" w:type="dxa"/>
          </w:tcPr>
          <w:p w14:paraId="5BF9013B" w14:textId="56567FC5" w:rsidR="00186961" w:rsidRDefault="007B2D08" w:rsidP="0031419F">
            <w:pPr>
              <w:jc w:val="both"/>
              <w:rPr>
                <w:lang w:val="en-GB"/>
              </w:rPr>
            </w:pPr>
            <w:r w:rsidRPr="007B2D08">
              <w:rPr>
                <w:noProof/>
                <w:lang w:val="en-GB"/>
              </w:rPr>
              <w:lastRenderedPageBreak/>
              <w:drawing>
                <wp:inline distT="0" distB="0" distL="0" distR="0" wp14:anchorId="4F7079F0" wp14:editId="48CD5C75">
                  <wp:extent cx="5726242" cy="3499667"/>
                  <wp:effectExtent l="0" t="0" r="1905"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8121" cy="3506927"/>
                          </a:xfrm>
                          <a:prstGeom prst="rect">
                            <a:avLst/>
                          </a:prstGeom>
                        </pic:spPr>
                      </pic:pic>
                    </a:graphicData>
                  </a:graphic>
                </wp:inline>
              </w:drawing>
            </w:r>
          </w:p>
        </w:tc>
      </w:tr>
    </w:tbl>
    <w:p w14:paraId="23E73948" w14:textId="77777777" w:rsidR="00186961" w:rsidRDefault="00186961" w:rsidP="0031419F">
      <w:pPr>
        <w:jc w:val="both"/>
        <w:rPr>
          <w:lang w:val="en-GB"/>
        </w:rPr>
      </w:pPr>
    </w:p>
    <w:p w14:paraId="7E9AEE67" w14:textId="77777777" w:rsidR="00571DAA" w:rsidRDefault="007B2D08" w:rsidP="00571DAA">
      <w:pPr>
        <w:jc w:val="both"/>
      </w:pPr>
      <w:proofErr w:type="spellStart"/>
      <w:r w:rsidRPr="007B2D08">
        <w:t>T</w:t>
      </w:r>
      <w:r w:rsidRPr="00571DAA">
        <w:rPr>
          <w:vertAlign w:val="subscript"/>
        </w:rPr>
        <w:t>search</w:t>
      </w:r>
      <w:proofErr w:type="spellEnd"/>
      <w:r w:rsidRPr="007B2D08">
        <w:t xml:space="preserve"> is the time required to search the target cell when the target cell is not already known when the handover command is received by the UE. If the target cell is known, then </w:t>
      </w:r>
      <w:proofErr w:type="spellStart"/>
      <w:r w:rsidRPr="007B2D08">
        <w:t>T</w:t>
      </w:r>
      <w:r w:rsidRPr="00571DAA">
        <w:rPr>
          <w:vertAlign w:val="subscript"/>
        </w:rPr>
        <w:t>search</w:t>
      </w:r>
      <w:proofErr w:type="spellEnd"/>
      <w:r w:rsidRPr="007B2D08">
        <w:t xml:space="preserve"> = 0 </w:t>
      </w:r>
      <w:proofErr w:type="spellStart"/>
      <w:r w:rsidRPr="007B2D08">
        <w:t>ms.</w:t>
      </w:r>
      <w:proofErr w:type="spellEnd"/>
      <w:r>
        <w:t xml:space="preserve"> That means when target cell is known the handover delay </w:t>
      </w:r>
      <w:r w:rsidR="00571DAA">
        <w:t>is as short as T</w:t>
      </w:r>
      <w:r w:rsidR="00571DAA" w:rsidRPr="00571DAA">
        <w:rPr>
          <w:vertAlign w:val="subscript"/>
        </w:rPr>
        <w:t>IU</w:t>
      </w:r>
      <w:r w:rsidR="00571DAA">
        <w:t>+20ms. The known condition is defined as “</w:t>
      </w:r>
      <w:r w:rsidR="00571DAA" w:rsidRPr="00571DAA">
        <w:t>In the interruption requirement a cell is known if it has been meeting the relevant cell identification requirement during the last 5 seconds otherwise it is unknown.”</w:t>
      </w:r>
      <w:r w:rsidR="00571DAA">
        <w:t xml:space="preserve"> In TN network, since the </w:t>
      </w:r>
      <w:proofErr w:type="spellStart"/>
      <w:r w:rsidR="00571DAA">
        <w:t>gNB</w:t>
      </w:r>
      <w:proofErr w:type="spellEnd"/>
      <w:r w:rsidR="00571DAA">
        <w:t xml:space="preserve"> location is fixed, it’s feasible to use 5 second for known cell condition and UE can still use the previously measured timing to determine UL transmission of PUCCH/PUSCH. However, in NR NTN scenario, especially when target cell is associated with non-</w:t>
      </w:r>
      <w:r w:rsidR="00571DAA">
        <w:rPr>
          <w:rFonts w:hint="eastAsia"/>
        </w:rPr>
        <w:t>GSO</w:t>
      </w:r>
      <w:r w:rsidR="00571DAA">
        <w:t xml:space="preserve"> satellite, such known cell condition may need to be carefully double checked. For legacy HO, UE can still have chance to use RACH procedure to adjust its timing, but for RACH-less HO, the inaccuracy of timing may result into the PUCCH/PUSCH reception failure at network side.</w:t>
      </w:r>
    </w:p>
    <w:p w14:paraId="058216CA" w14:textId="77777777" w:rsidR="00571DAA" w:rsidRDefault="00571DAA" w:rsidP="00571DAA">
      <w:pPr>
        <w:jc w:val="both"/>
      </w:pPr>
    </w:p>
    <w:p w14:paraId="7ADCFAE2" w14:textId="519D526C" w:rsidR="007B2D08" w:rsidRPr="00571DAA" w:rsidRDefault="00571DAA" w:rsidP="00571DAA">
      <w:pPr>
        <w:jc w:val="both"/>
      </w:pPr>
      <w:r>
        <w:t>Also in the LS reply, RAN4 mentioned that,</w:t>
      </w:r>
    </w:p>
    <w:tbl>
      <w:tblPr>
        <w:tblStyle w:val="TableGrid"/>
        <w:tblW w:w="0" w:type="auto"/>
        <w:tblLook w:val="04A0" w:firstRow="1" w:lastRow="0" w:firstColumn="1" w:lastColumn="0" w:noHBand="0" w:noVBand="1"/>
      </w:tblPr>
      <w:tblGrid>
        <w:gridCol w:w="8768"/>
      </w:tblGrid>
      <w:tr w:rsidR="00931D05" w14:paraId="1059F7E0" w14:textId="77777777" w:rsidTr="00571DAA">
        <w:trPr>
          <w:trHeight w:val="1743"/>
        </w:trPr>
        <w:tc>
          <w:tcPr>
            <w:tcW w:w="8768" w:type="dxa"/>
          </w:tcPr>
          <w:p w14:paraId="16D08000" w14:textId="77777777" w:rsidR="00571DAA" w:rsidRPr="001C6634" w:rsidRDefault="00571DAA" w:rsidP="00571DAA">
            <w:pPr>
              <w:pStyle w:val="ListParagraph"/>
              <w:widowControl/>
              <w:overflowPunct w:val="0"/>
              <w:autoSpaceDE w:val="0"/>
              <w:autoSpaceDN w:val="0"/>
              <w:adjustRightInd w:val="0"/>
              <w:spacing w:after="0" w:line="240" w:lineRule="auto"/>
              <w:ind w:firstLineChars="0" w:firstLine="0"/>
              <w:textAlignment w:val="baseline"/>
              <w:rPr>
                <w:sz w:val="20"/>
                <w:szCs w:val="20"/>
              </w:rPr>
            </w:pPr>
            <w:r w:rsidRPr="001C6634">
              <w:rPr>
                <w:sz w:val="20"/>
                <w:szCs w:val="20"/>
              </w:rPr>
              <w:t xml:space="preserve">For NTN-NTN FR1-FR1 handover, RAN4 to confirm that Note 1 in the LS (R1-2213001) is correct, i.e. the timing requirement specified in Table 7.1C.2-1 of TS38.133 applies to the first UL transmission, including PUCCH, PUSCH, SRS, PRACH, and </w:t>
            </w:r>
            <w:proofErr w:type="spellStart"/>
            <w:r w:rsidRPr="001C6634">
              <w:rPr>
                <w:sz w:val="20"/>
                <w:szCs w:val="20"/>
              </w:rPr>
              <w:t>msgA</w:t>
            </w:r>
            <w:proofErr w:type="spellEnd"/>
            <w:r w:rsidRPr="001C6634">
              <w:rPr>
                <w:sz w:val="20"/>
                <w:szCs w:val="20"/>
              </w:rPr>
              <w:t>, in the target cell, provided that</w:t>
            </w:r>
          </w:p>
          <w:p w14:paraId="57CB3FC3" w14:textId="77777777" w:rsidR="00571DAA" w:rsidRPr="00571DAA" w:rsidRDefault="00571DAA" w:rsidP="00571DAA">
            <w:pPr>
              <w:pStyle w:val="ListParagraph"/>
              <w:widowControl/>
              <w:numPr>
                <w:ilvl w:val="0"/>
                <w:numId w:val="45"/>
              </w:numPr>
              <w:overflowPunct w:val="0"/>
              <w:autoSpaceDE w:val="0"/>
              <w:autoSpaceDN w:val="0"/>
              <w:adjustRightInd w:val="0"/>
              <w:spacing w:after="0" w:line="240" w:lineRule="auto"/>
              <w:ind w:left="782" w:firstLineChars="0"/>
              <w:textAlignment w:val="baseline"/>
              <w:rPr>
                <w:color w:val="FF0000"/>
                <w:sz w:val="20"/>
                <w:szCs w:val="20"/>
                <w:highlight w:val="green"/>
              </w:rPr>
            </w:pPr>
            <w:r w:rsidRPr="00571DAA">
              <w:rPr>
                <w:color w:val="FF0000"/>
                <w:sz w:val="20"/>
                <w:szCs w:val="20"/>
                <w:highlight w:val="green"/>
              </w:rPr>
              <w:t xml:space="preserve">at least one SSB is available at the UE during the last 160 </w:t>
            </w:r>
            <w:proofErr w:type="spellStart"/>
            <w:r w:rsidRPr="00571DAA">
              <w:rPr>
                <w:color w:val="FF0000"/>
                <w:sz w:val="20"/>
                <w:szCs w:val="20"/>
                <w:highlight w:val="green"/>
              </w:rPr>
              <w:t>ms.</w:t>
            </w:r>
            <w:proofErr w:type="spellEnd"/>
          </w:p>
          <w:p w14:paraId="2B5A0BC9" w14:textId="77777777" w:rsidR="00571DAA" w:rsidRPr="001C6634" w:rsidRDefault="00571DAA" w:rsidP="00571DAA">
            <w:pPr>
              <w:pStyle w:val="ListParagraph"/>
              <w:widowControl/>
              <w:numPr>
                <w:ilvl w:val="0"/>
                <w:numId w:val="45"/>
              </w:numPr>
              <w:overflowPunct w:val="0"/>
              <w:autoSpaceDE w:val="0"/>
              <w:autoSpaceDN w:val="0"/>
              <w:adjustRightInd w:val="0"/>
              <w:spacing w:after="0" w:line="240" w:lineRule="auto"/>
              <w:ind w:left="782" w:firstLineChars="0"/>
              <w:textAlignment w:val="baseline"/>
              <w:rPr>
                <w:sz w:val="20"/>
                <w:szCs w:val="20"/>
              </w:rPr>
            </w:pPr>
            <w:r w:rsidRPr="001C6634">
              <w:rPr>
                <w:sz w:val="20"/>
                <w:szCs w:val="20"/>
              </w:rPr>
              <w:t xml:space="preserve">UE is provided with information such that the UE has valid </w:t>
            </w:r>
            <m:oMath>
              <m:sSubSup>
                <m:sSubSupPr>
                  <m:ctrlPr>
                    <w:rPr>
                      <w:rFonts w:ascii="Cambria Math" w:hAnsi="Cambria Math"/>
                      <w:sz w:val="20"/>
                      <w:szCs w:val="20"/>
                    </w:rPr>
                  </m:ctrlPr>
                </m:sSubSupPr>
                <m:e>
                  <m:r>
                    <w:rPr>
                      <w:rFonts w:ascii="Cambria Math" w:hAnsi="Cambria Math"/>
                      <w:sz w:val="20"/>
                      <w:szCs w:val="20"/>
                    </w:rPr>
                    <m:t>N</m:t>
                  </m:r>
                </m:e>
                <m:sub>
                  <m:r>
                    <m:rPr>
                      <m:nor/>
                    </m:rPr>
                    <w:rPr>
                      <w:sz w:val="20"/>
                      <w:szCs w:val="20"/>
                    </w:rPr>
                    <m:t>TA,adj</m:t>
                  </m:r>
                </m:sub>
                <m:sup>
                  <m:r>
                    <m:rPr>
                      <m:nor/>
                    </m:rPr>
                    <w:rPr>
                      <w:sz w:val="20"/>
                      <w:szCs w:val="20"/>
                    </w:rPr>
                    <m:t>common</m:t>
                  </m:r>
                </m:sup>
              </m:sSubSup>
            </m:oMath>
            <w:r w:rsidRPr="001C6634">
              <w:rPr>
                <w:sz w:val="20"/>
                <w:szCs w:val="20"/>
              </w:rPr>
              <w:t xml:space="preserve"> and </w:t>
            </w:r>
            <m:oMath>
              <m:sSubSup>
                <m:sSubSupPr>
                  <m:ctrlPr>
                    <w:rPr>
                      <w:rFonts w:ascii="Cambria Math" w:hAnsi="Cambria Math"/>
                      <w:sz w:val="20"/>
                      <w:szCs w:val="20"/>
                    </w:rPr>
                  </m:ctrlPr>
                </m:sSubSupPr>
                <m:e>
                  <m:r>
                    <w:rPr>
                      <w:rFonts w:ascii="Cambria Math" w:hAnsi="Cambria Math"/>
                      <w:sz w:val="20"/>
                      <w:szCs w:val="20"/>
                    </w:rPr>
                    <m:t>N</m:t>
                  </m:r>
                </m:e>
                <m:sub>
                  <m:r>
                    <m:rPr>
                      <m:nor/>
                    </m:rPr>
                    <w:rPr>
                      <w:sz w:val="20"/>
                      <w:szCs w:val="20"/>
                    </w:rPr>
                    <m:t>TA,adj</m:t>
                  </m:r>
                </m:sub>
                <m:sup>
                  <m:r>
                    <m:rPr>
                      <m:nor/>
                    </m:rPr>
                    <w:rPr>
                      <w:sz w:val="20"/>
                      <w:szCs w:val="20"/>
                    </w:rPr>
                    <m:t>UE</m:t>
                  </m:r>
                </m:sup>
              </m:sSubSup>
            </m:oMath>
            <w:r w:rsidRPr="001C6634">
              <w:rPr>
                <w:sz w:val="20"/>
                <w:szCs w:val="20"/>
              </w:rPr>
              <w:t xml:space="preserve"> upon handover execution.</w:t>
            </w:r>
          </w:p>
          <w:p w14:paraId="7336975E" w14:textId="5CA14161" w:rsidR="00931D05" w:rsidRPr="00571DAA" w:rsidRDefault="00571DAA" w:rsidP="00571DAA">
            <w:pPr>
              <w:pStyle w:val="ListParagraph"/>
              <w:widowControl/>
              <w:numPr>
                <w:ilvl w:val="0"/>
                <w:numId w:val="45"/>
              </w:numPr>
              <w:overflowPunct w:val="0"/>
              <w:autoSpaceDE w:val="0"/>
              <w:autoSpaceDN w:val="0"/>
              <w:adjustRightInd w:val="0"/>
              <w:spacing w:after="0" w:line="240" w:lineRule="auto"/>
              <w:ind w:left="782" w:firstLineChars="0"/>
              <w:textAlignment w:val="baseline"/>
              <w:rPr>
                <w:sz w:val="20"/>
                <w:szCs w:val="20"/>
              </w:rPr>
            </w:pPr>
            <w:r w:rsidRPr="001C6634">
              <w:rPr>
                <w:sz w:val="20"/>
                <w:szCs w:val="20"/>
              </w:rPr>
              <w:t>the network and UE have a common understanding of N</w:t>
            </w:r>
            <w:r w:rsidRPr="001C6634">
              <w:rPr>
                <w:sz w:val="20"/>
                <w:szCs w:val="20"/>
                <w:vertAlign w:val="subscript"/>
              </w:rPr>
              <w:t xml:space="preserve">TA </w:t>
            </w:r>
            <w:r w:rsidRPr="001C6634">
              <w:rPr>
                <w:sz w:val="20"/>
                <w:szCs w:val="20"/>
              </w:rPr>
              <w:t>component upon HO execution.</w:t>
            </w:r>
          </w:p>
        </w:tc>
      </w:tr>
    </w:tbl>
    <w:p w14:paraId="403B33FA" w14:textId="77777777" w:rsidR="00571DAA" w:rsidRDefault="00571DAA" w:rsidP="00E356F0">
      <w:pPr>
        <w:spacing w:after="187"/>
        <w:jc w:val="both"/>
        <w:rPr>
          <w:iCs/>
          <w:color w:val="000000" w:themeColor="text1"/>
        </w:rPr>
      </w:pPr>
    </w:p>
    <w:p w14:paraId="483B00C3" w14:textId="5401BF77" w:rsidR="004F1F7F" w:rsidRDefault="00571DAA" w:rsidP="00E356F0">
      <w:pPr>
        <w:spacing w:after="187"/>
        <w:jc w:val="both"/>
        <w:rPr>
          <w:iCs/>
          <w:color w:val="000000" w:themeColor="text1"/>
        </w:rPr>
      </w:pPr>
      <w:r>
        <w:rPr>
          <w:iCs/>
          <w:color w:val="000000" w:themeColor="text1"/>
        </w:rPr>
        <w:t>In our view this “SSB availability in last 160ms” is to make sure UE has chance to perform time tracking before the UL transmission in RACH-less HO. However, if the target cell is determined as known</w:t>
      </w:r>
      <w:r w:rsidR="00B9277A">
        <w:rPr>
          <w:iCs/>
          <w:color w:val="000000" w:themeColor="text1"/>
        </w:rPr>
        <w:t xml:space="preserve"> (e.g., UE has measured and report L3 measurement results</w:t>
      </w:r>
      <w:r w:rsidR="004F1F7F">
        <w:rPr>
          <w:iCs/>
          <w:color w:val="000000" w:themeColor="text1"/>
        </w:rPr>
        <w:t xml:space="preserve"> in last 5sec</w:t>
      </w:r>
      <w:r w:rsidR="00B9277A">
        <w:rPr>
          <w:iCs/>
          <w:color w:val="000000" w:themeColor="text1"/>
        </w:rPr>
        <w:t>)</w:t>
      </w:r>
      <w:r>
        <w:rPr>
          <w:iCs/>
          <w:color w:val="000000" w:themeColor="text1"/>
        </w:rPr>
        <w:t>,</w:t>
      </w:r>
      <w:r w:rsidR="004F1F7F">
        <w:rPr>
          <w:iCs/>
          <w:color w:val="000000" w:themeColor="text1"/>
        </w:rPr>
        <w:t xml:space="preserve"> UE may be still possible to fail the PUCCH/PUSCH transmission without DL timing tracking.</w:t>
      </w:r>
      <w:r>
        <w:rPr>
          <w:iCs/>
          <w:color w:val="000000" w:themeColor="text1"/>
        </w:rPr>
        <w:t xml:space="preserve"> </w:t>
      </w:r>
      <w:r w:rsidR="003D56B5">
        <w:rPr>
          <w:iCs/>
          <w:color w:val="000000" w:themeColor="text1"/>
        </w:rPr>
        <w:t>Thus, we recommend RAN4 to investigate whether the known/unknown condition can be enhanced for RACH-less HO if target cell is non-GSO.</w:t>
      </w:r>
    </w:p>
    <w:p w14:paraId="27B1B5FA" w14:textId="010A05E7" w:rsidR="003D56B5" w:rsidRDefault="003D56B5" w:rsidP="00E356F0">
      <w:pPr>
        <w:spacing w:after="187"/>
        <w:jc w:val="both"/>
        <w:rPr>
          <w:iCs/>
          <w:color w:val="000000" w:themeColor="text1"/>
        </w:rPr>
      </w:pPr>
      <w:r w:rsidRPr="003D56B5">
        <w:rPr>
          <w:iCs/>
          <w:noProof/>
          <w:color w:val="000000" w:themeColor="text1"/>
        </w:rPr>
        <w:lastRenderedPageBreak/>
        <w:drawing>
          <wp:inline distT="0" distB="0" distL="0" distR="0" wp14:anchorId="1751CC64" wp14:editId="4E9D3BC0">
            <wp:extent cx="6120765" cy="2240280"/>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2240280"/>
                    </a:xfrm>
                    <a:prstGeom prst="rect">
                      <a:avLst/>
                    </a:prstGeom>
                  </pic:spPr>
                </pic:pic>
              </a:graphicData>
            </a:graphic>
          </wp:inline>
        </w:drawing>
      </w:r>
    </w:p>
    <w:p w14:paraId="71A69CFF" w14:textId="6B64D2CA" w:rsidR="00931D05" w:rsidRPr="0083248C" w:rsidRDefault="004F1F7F" w:rsidP="0083248C">
      <w:pPr>
        <w:spacing w:after="187"/>
        <w:jc w:val="both"/>
        <w:rPr>
          <w:b/>
          <w:bCs/>
          <w:i/>
          <w:color w:val="000000" w:themeColor="text1"/>
        </w:rPr>
      </w:pPr>
      <w:r w:rsidRPr="004F1F7F">
        <w:rPr>
          <w:b/>
          <w:bCs/>
          <w:i/>
          <w:color w:val="000000" w:themeColor="text1"/>
        </w:rPr>
        <w:t>Proposal 3: RAN4 to discuss whether or how the known/unknown condition can be enhanced for RACH-less HO if target cell is a non-GSO.</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17A1AF18" w14:textId="77777777" w:rsidR="008A1E57" w:rsidRDefault="008A1E57" w:rsidP="00E06DD6">
      <w:pPr>
        <w:spacing w:after="180"/>
        <w:jc w:val="both"/>
      </w:pPr>
      <w:r>
        <w:t xml:space="preserve">In this contribution we discuss the impact on RRM for the </w:t>
      </w:r>
      <w:proofErr w:type="spellStart"/>
      <w:r>
        <w:t>eNTN</w:t>
      </w:r>
      <w:proofErr w:type="spellEnd"/>
      <w:r>
        <w:t xml:space="preserve"> UE.</w:t>
      </w:r>
    </w:p>
    <w:p w14:paraId="71FA4F82" w14:textId="77777777" w:rsidR="003D56B5" w:rsidRPr="003D56B5" w:rsidRDefault="003D56B5" w:rsidP="003D56B5">
      <w:pPr>
        <w:spacing w:after="180"/>
        <w:jc w:val="both"/>
        <w:rPr>
          <w:b/>
          <w:bCs/>
          <w:i/>
          <w:color w:val="000000" w:themeColor="text1"/>
        </w:rPr>
      </w:pPr>
      <w:r w:rsidRPr="003D56B5">
        <w:rPr>
          <w:b/>
          <w:bCs/>
          <w:i/>
          <w:color w:val="000000" w:themeColor="text1"/>
        </w:rPr>
        <w:t>Proposal 1: RAN4 to specify the RRM requirement for NR-NTN deployment above 10 GHz bands</w:t>
      </w:r>
      <w:r w:rsidRPr="003D56B5">
        <w:t xml:space="preserve"> </w:t>
      </w:r>
      <w:r w:rsidRPr="003D56B5">
        <w:rPr>
          <w:b/>
          <w:bCs/>
          <w:i/>
          <w:color w:val="000000" w:themeColor="text1"/>
        </w:rPr>
        <w:t>after concrete conclusion is made in RF session, e.g., Rx beam-forming related RRM requirement.</w:t>
      </w:r>
    </w:p>
    <w:p w14:paraId="7D843200" w14:textId="77777777" w:rsidR="003D56B5" w:rsidRPr="003D56B5" w:rsidRDefault="003D56B5" w:rsidP="003D56B5">
      <w:pPr>
        <w:spacing w:after="187"/>
        <w:jc w:val="both"/>
        <w:rPr>
          <w:b/>
          <w:bCs/>
          <w:i/>
          <w:color w:val="000000" w:themeColor="text1"/>
        </w:rPr>
      </w:pPr>
      <w:r w:rsidRPr="003D56B5">
        <w:rPr>
          <w:b/>
          <w:bCs/>
          <w:i/>
          <w:color w:val="000000" w:themeColor="text1"/>
        </w:rPr>
        <w:t xml:space="preserve">Proposal 2: </w:t>
      </w:r>
    </w:p>
    <w:p w14:paraId="537F1572" w14:textId="77777777" w:rsidR="003D56B5" w:rsidRPr="003D56B5" w:rsidRDefault="003D56B5" w:rsidP="003D56B5">
      <w:pPr>
        <w:spacing w:after="187"/>
        <w:jc w:val="both"/>
        <w:rPr>
          <w:b/>
          <w:bCs/>
          <w:i/>
          <w:color w:val="000000" w:themeColor="text1"/>
        </w:rPr>
      </w:pPr>
      <w:r w:rsidRPr="003D56B5">
        <w:rPr>
          <w:b/>
          <w:bCs/>
          <w:i/>
          <w:color w:val="000000" w:themeColor="text1"/>
        </w:rPr>
        <w:t xml:space="preserve">For </w:t>
      </w:r>
      <w:r w:rsidRPr="003D56B5">
        <w:rPr>
          <w:b/>
          <w:bCs/>
          <w:i/>
        </w:rPr>
        <w:t>NTN-TN and NTN-NTN mobility and service continuity enhancements,</w:t>
      </w:r>
      <w:r w:rsidRPr="003D56B5">
        <w:rPr>
          <w:b/>
          <w:bCs/>
          <w:i/>
          <w:color w:val="000000" w:themeColor="text1"/>
        </w:rPr>
        <w:t xml:space="preserve"> RAN4 RRM work can start after RAN2 has more conclusions. </w:t>
      </w:r>
    </w:p>
    <w:p w14:paraId="4D66A289" w14:textId="77777777" w:rsidR="003D56B5" w:rsidRPr="003D56B5" w:rsidRDefault="003D56B5" w:rsidP="003D56B5">
      <w:pPr>
        <w:spacing w:after="187"/>
        <w:jc w:val="both"/>
        <w:rPr>
          <w:b/>
          <w:bCs/>
          <w:i/>
          <w:color w:val="000000" w:themeColor="text1"/>
        </w:rPr>
      </w:pPr>
      <w:r w:rsidRPr="003D56B5">
        <w:rPr>
          <w:b/>
          <w:bCs/>
          <w:i/>
          <w:color w:val="000000" w:themeColor="text1"/>
        </w:rPr>
        <w:t>In addition, RAN4 to agree:</w:t>
      </w:r>
    </w:p>
    <w:p w14:paraId="75763FBA" w14:textId="77777777" w:rsidR="003D56B5" w:rsidRPr="003D56B5" w:rsidRDefault="003D56B5" w:rsidP="003D56B5">
      <w:pPr>
        <w:pStyle w:val="ListParagraph"/>
        <w:numPr>
          <w:ilvl w:val="0"/>
          <w:numId w:val="41"/>
        </w:numPr>
        <w:spacing w:after="187" w:line="240" w:lineRule="auto"/>
        <w:ind w:firstLineChars="0"/>
        <w:jc w:val="both"/>
        <w:rPr>
          <w:rFonts w:eastAsia="Times New Roman"/>
          <w:b/>
          <w:bCs/>
          <w:i/>
          <w:snapToGrid/>
          <w:color w:val="000000" w:themeColor="text1"/>
          <w:sz w:val="24"/>
          <w:szCs w:val="24"/>
          <w:lang w:val="en-US" w:eastAsia="zh-CN"/>
        </w:rPr>
      </w:pPr>
      <w:r w:rsidRPr="003D56B5">
        <w:rPr>
          <w:rFonts w:eastAsia="Times New Roman"/>
          <w:b/>
          <w:bCs/>
          <w:i/>
          <w:snapToGrid/>
          <w:color w:val="000000" w:themeColor="text1"/>
          <w:sz w:val="24"/>
          <w:szCs w:val="24"/>
          <w:lang w:val="en-US" w:eastAsia="zh-CN"/>
        </w:rPr>
        <w:t xml:space="preserve">the RRM requirement for timing based and location-based cell reselection for quasi-earth fixed cell in Rel-17 can be considered as the starting point for NTN-NTN cell reselection requirement with earth moving cell. </w:t>
      </w:r>
    </w:p>
    <w:p w14:paraId="4B4DFFDE" w14:textId="10D51298" w:rsidR="008A1E57" w:rsidRPr="002D1506" w:rsidRDefault="003D56B5" w:rsidP="003D56B5">
      <w:pPr>
        <w:spacing w:after="187"/>
        <w:jc w:val="both"/>
        <w:rPr>
          <w:b/>
          <w:bCs/>
          <w:i/>
          <w:color w:val="000000" w:themeColor="text1"/>
        </w:rPr>
      </w:pPr>
      <w:r w:rsidRPr="003D56B5">
        <w:rPr>
          <w:b/>
          <w:bCs/>
          <w:i/>
          <w:color w:val="000000" w:themeColor="text1"/>
        </w:rPr>
        <w:t>Proposal 3: RAN4 to discuss whether or how the known/unknown condition can be enhanced for RACH-less HO if target cell is a non-GSO.</w:t>
      </w:r>
    </w:p>
    <w:p w14:paraId="5C32F4BB" w14:textId="67678660" w:rsidR="00A74337" w:rsidRDefault="00A74337" w:rsidP="008A1E57">
      <w:pPr>
        <w:pStyle w:val="Heading1"/>
        <w:pBdr>
          <w:top w:val="single" w:sz="12" w:space="2" w:color="auto"/>
        </w:pBdr>
        <w:ind w:left="0" w:firstLine="0"/>
        <w:jc w:val="both"/>
        <w:rPr>
          <w:sz w:val="32"/>
        </w:rPr>
      </w:pPr>
      <w:r w:rsidRPr="00B7162C">
        <w:rPr>
          <w:rFonts w:hint="eastAsia"/>
          <w:sz w:val="32"/>
        </w:rPr>
        <w:t>References</w:t>
      </w:r>
    </w:p>
    <w:p w14:paraId="79A7BFA5" w14:textId="55E55EDC" w:rsidR="006F5597" w:rsidRDefault="00A74337" w:rsidP="0012561B">
      <w:pPr>
        <w:jc w:val="both"/>
      </w:pPr>
      <w:r>
        <w:t xml:space="preserve">[1] </w:t>
      </w:r>
      <w:r w:rsidR="001F65D9" w:rsidRPr="001F65D9">
        <w:rPr>
          <w:rFonts w:cs="Arial"/>
        </w:rPr>
        <w:t>R4-2303238</w:t>
      </w:r>
      <w:r w:rsidR="006F5597" w:rsidRPr="003302A0">
        <w:t xml:space="preserve">, </w:t>
      </w:r>
      <w:r w:rsidR="001F65D9" w:rsidRPr="001F65D9">
        <w:t>WF on NR NTN enhancement RRM requirements</w:t>
      </w:r>
      <w:r w:rsidR="006F5597" w:rsidRPr="003302A0">
        <w:t xml:space="preserve">, </w:t>
      </w:r>
      <w:r w:rsidR="001F65D9" w:rsidRPr="001F65D9">
        <w:t>Qualcomm</w:t>
      </w:r>
      <w:r w:rsidR="006F5597" w:rsidRPr="003302A0">
        <w:t>, RAN</w:t>
      </w:r>
      <w:r w:rsidR="001F65D9">
        <w:t>4</w:t>
      </w:r>
      <w:r w:rsidR="006F5597">
        <w:t xml:space="preserve"> #</w:t>
      </w:r>
      <w:r w:rsidR="001F65D9">
        <w:t>106</w:t>
      </w:r>
    </w:p>
    <w:p w14:paraId="31482E89" w14:textId="7726886D" w:rsidR="00CB4DF7" w:rsidRDefault="00CB4DF7" w:rsidP="0012561B">
      <w:pPr>
        <w:jc w:val="both"/>
      </w:pPr>
      <w:r w:rsidRPr="00CB4DF7">
        <w:t>[2] R4-2303533, WF on NTN UE RF requirements for Ka band</w:t>
      </w:r>
      <w:r>
        <w:t>, ZTE, RAN4 #106</w:t>
      </w:r>
    </w:p>
    <w:p w14:paraId="44B8CEA3" w14:textId="63E55424" w:rsidR="00CB4DF7" w:rsidRPr="00CB4DF7" w:rsidRDefault="00CB4DF7" w:rsidP="0012561B">
      <w:pPr>
        <w:jc w:val="both"/>
      </w:pPr>
      <w:r>
        <w:t xml:space="preserve">[3] </w:t>
      </w:r>
      <w:r w:rsidR="00092D2C" w:rsidRPr="00092D2C">
        <w:t>R4-2302998</w:t>
      </w:r>
      <w:r w:rsidR="00092D2C">
        <w:t>,</w:t>
      </w:r>
      <w:r w:rsidR="00092D2C" w:rsidRPr="00092D2C">
        <w:tab/>
        <w:t>WF for system parameters of above 10 GHz NTN band</w:t>
      </w:r>
      <w:r w:rsidR="00092D2C">
        <w:t xml:space="preserve">, </w:t>
      </w:r>
      <w:r w:rsidR="00092D2C" w:rsidRPr="00092D2C">
        <w:t>THALES</w:t>
      </w:r>
      <w:r w:rsidR="00092D2C">
        <w:t>, RAN4#106</w:t>
      </w:r>
    </w:p>
    <w:p w14:paraId="0C91915A" w14:textId="337019FF" w:rsidR="00110BFA" w:rsidRPr="005A1E0E" w:rsidRDefault="00110BFA" w:rsidP="00A74337"/>
    <w:sectPr w:rsidR="00110BFA" w:rsidRPr="005A1E0E" w:rsidSect="0069017A">
      <w:headerReference w:type="even" r:id="rId14"/>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66B939" w14:textId="77777777" w:rsidR="00094BBF" w:rsidRDefault="00094BBF">
      <w:r>
        <w:separator/>
      </w:r>
    </w:p>
  </w:endnote>
  <w:endnote w:type="continuationSeparator" w:id="0">
    <w:p w14:paraId="3E6845AC" w14:textId="77777777" w:rsidR="00094BBF" w:rsidRDefault="00094BBF">
      <w:r>
        <w:continuationSeparator/>
      </w:r>
    </w:p>
  </w:endnote>
  <w:endnote w:type="continuationNotice" w:id="1">
    <w:p w14:paraId="297FB106" w14:textId="77777777" w:rsidR="00094BBF" w:rsidRDefault="00094B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9EB437" w14:textId="77777777" w:rsidR="00094BBF" w:rsidRDefault="00094BBF">
      <w:r>
        <w:separator/>
      </w:r>
    </w:p>
  </w:footnote>
  <w:footnote w:type="continuationSeparator" w:id="0">
    <w:p w14:paraId="016E7C96" w14:textId="77777777" w:rsidR="00094BBF" w:rsidRDefault="00094BBF">
      <w:r>
        <w:continuationSeparator/>
      </w:r>
    </w:p>
  </w:footnote>
  <w:footnote w:type="continuationNotice" w:id="1">
    <w:p w14:paraId="64ECF106" w14:textId="77777777" w:rsidR="00094BBF" w:rsidRDefault="00094BB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13FECC9"/>
    <w:multiLevelType w:val="multilevel"/>
    <w:tmpl w:val="A13FECC9"/>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5"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12AA3B83"/>
    <w:multiLevelType w:val="hybridMultilevel"/>
    <w:tmpl w:val="AF56E7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2413374B"/>
    <w:multiLevelType w:val="hybridMultilevel"/>
    <w:tmpl w:val="BD3633CC"/>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5"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8"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0"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42D0EB8"/>
    <w:multiLevelType w:val="multilevel"/>
    <w:tmpl w:val="542D0E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6"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67D24A1"/>
    <w:multiLevelType w:val="hybridMultilevel"/>
    <w:tmpl w:val="1104129A"/>
    <w:lvl w:ilvl="0" w:tplc="7F7AD766">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7267C66"/>
    <w:multiLevelType w:val="hybridMultilevel"/>
    <w:tmpl w:val="1EF86220"/>
    <w:lvl w:ilvl="0" w:tplc="04090001">
      <w:start w:val="1"/>
      <w:numFmt w:val="bullet"/>
      <w:lvlText w:val=""/>
      <w:lvlJc w:val="left"/>
      <w:pPr>
        <w:ind w:left="1496" w:hanging="360"/>
      </w:pPr>
      <w:rPr>
        <w:rFonts w:ascii="Symbol" w:hAnsi="Symbol" w:hint="default"/>
      </w:rPr>
    </w:lvl>
    <w:lvl w:ilvl="1" w:tplc="04090003">
      <w:start w:val="1"/>
      <w:numFmt w:val="bullet"/>
      <w:lvlText w:val="o"/>
      <w:lvlJc w:val="left"/>
      <w:pPr>
        <w:ind w:left="2784" w:hanging="360"/>
      </w:pPr>
      <w:rPr>
        <w:rFonts w:ascii="Courier New" w:hAnsi="Courier New" w:cs="Courier New" w:hint="default"/>
      </w:rPr>
    </w:lvl>
    <w:lvl w:ilvl="2" w:tplc="04090005">
      <w:start w:val="1"/>
      <w:numFmt w:val="bullet"/>
      <w:lvlText w:val=""/>
      <w:lvlJc w:val="left"/>
      <w:pPr>
        <w:ind w:left="3504" w:hanging="360"/>
      </w:pPr>
      <w:rPr>
        <w:rFonts w:ascii="Wingdings" w:hAnsi="Wingdings" w:hint="default"/>
      </w:rPr>
    </w:lvl>
    <w:lvl w:ilvl="3" w:tplc="04090001">
      <w:start w:val="1"/>
      <w:numFmt w:val="bullet"/>
      <w:lvlText w:val=""/>
      <w:lvlJc w:val="left"/>
      <w:pPr>
        <w:ind w:left="4224" w:hanging="360"/>
      </w:pPr>
      <w:rPr>
        <w:rFonts w:ascii="Symbol" w:hAnsi="Symbol" w:hint="default"/>
      </w:rPr>
    </w:lvl>
    <w:lvl w:ilvl="4" w:tplc="04090003">
      <w:start w:val="1"/>
      <w:numFmt w:val="bullet"/>
      <w:lvlText w:val="o"/>
      <w:lvlJc w:val="left"/>
      <w:pPr>
        <w:ind w:left="4944" w:hanging="360"/>
      </w:pPr>
      <w:rPr>
        <w:rFonts w:ascii="Courier New" w:hAnsi="Courier New" w:cs="Courier New" w:hint="default"/>
      </w:rPr>
    </w:lvl>
    <w:lvl w:ilvl="5" w:tplc="04090005">
      <w:start w:val="1"/>
      <w:numFmt w:val="bullet"/>
      <w:lvlText w:val=""/>
      <w:lvlJc w:val="left"/>
      <w:pPr>
        <w:ind w:left="5664" w:hanging="360"/>
      </w:pPr>
      <w:rPr>
        <w:rFonts w:ascii="Wingdings" w:hAnsi="Wingdings" w:hint="default"/>
      </w:rPr>
    </w:lvl>
    <w:lvl w:ilvl="6" w:tplc="04090001">
      <w:start w:val="1"/>
      <w:numFmt w:val="bullet"/>
      <w:lvlText w:val=""/>
      <w:lvlJc w:val="left"/>
      <w:pPr>
        <w:ind w:left="6384" w:hanging="360"/>
      </w:pPr>
      <w:rPr>
        <w:rFonts w:ascii="Symbol" w:hAnsi="Symbol" w:hint="default"/>
      </w:rPr>
    </w:lvl>
    <w:lvl w:ilvl="7" w:tplc="04090003">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31"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33"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35"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7B12593"/>
    <w:multiLevelType w:val="hybridMultilevel"/>
    <w:tmpl w:val="C59A3370"/>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1" w15:restartNumberingAfterBreak="0">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39"/>
  </w:num>
  <w:num w:numId="5" w16cid:durableId="199491767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20"/>
  </w:num>
  <w:num w:numId="8" w16cid:durableId="66853061">
    <w:abstractNumId w:val="42"/>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1"/>
  </w:num>
  <w:num w:numId="10" w16cid:durableId="1670213939">
    <w:abstractNumId w:val="5"/>
  </w:num>
  <w:num w:numId="11" w16cid:durableId="658192778">
    <w:abstractNumId w:val="34"/>
  </w:num>
  <w:num w:numId="12" w16cid:durableId="1683971953">
    <w:abstractNumId w:val="23"/>
  </w:num>
  <w:num w:numId="13" w16cid:durableId="1802336773">
    <w:abstractNumId w:val="35"/>
  </w:num>
  <w:num w:numId="14" w16cid:durableId="183179212">
    <w:abstractNumId w:val="8"/>
  </w:num>
  <w:num w:numId="15" w16cid:durableId="101072845">
    <w:abstractNumId w:val="2"/>
  </w:num>
  <w:num w:numId="16" w16cid:durableId="1671985423">
    <w:abstractNumId w:val="40"/>
  </w:num>
  <w:num w:numId="17" w16cid:durableId="527718403">
    <w:abstractNumId w:val="7"/>
  </w:num>
  <w:num w:numId="18" w16cid:durableId="336426665">
    <w:abstractNumId w:val="27"/>
  </w:num>
  <w:num w:numId="19" w16cid:durableId="314071016">
    <w:abstractNumId w:val="3"/>
  </w:num>
  <w:num w:numId="20" w16cid:durableId="254241833">
    <w:abstractNumId w:val="10"/>
  </w:num>
  <w:num w:numId="21" w16cid:durableId="2056931042">
    <w:abstractNumId w:val="22"/>
  </w:num>
  <w:num w:numId="22" w16cid:durableId="277881800">
    <w:abstractNumId w:val="25"/>
  </w:num>
  <w:num w:numId="23" w16cid:durableId="2121104171">
    <w:abstractNumId w:val="16"/>
  </w:num>
  <w:num w:numId="24" w16cid:durableId="1956054883">
    <w:abstractNumId w:val="11"/>
  </w:num>
  <w:num w:numId="25" w16cid:durableId="1143275559">
    <w:abstractNumId w:val="17"/>
  </w:num>
  <w:num w:numId="26" w16cid:durableId="337998213">
    <w:abstractNumId w:val="18"/>
  </w:num>
  <w:num w:numId="27" w16cid:durableId="753867088">
    <w:abstractNumId w:val="14"/>
  </w:num>
  <w:num w:numId="28" w16cid:durableId="1388605013">
    <w:abstractNumId w:val="12"/>
  </w:num>
  <w:num w:numId="29" w16cid:durableId="1194684424">
    <w:abstractNumId w:val="19"/>
  </w:num>
  <w:num w:numId="30" w16cid:durableId="195780968">
    <w:abstractNumId w:val="28"/>
  </w:num>
  <w:num w:numId="31" w16cid:durableId="43145658">
    <w:abstractNumId w:val="24"/>
  </w:num>
  <w:num w:numId="32" w16cid:durableId="840119956">
    <w:abstractNumId w:val="38"/>
  </w:num>
  <w:num w:numId="33" w16cid:durableId="788086887">
    <w:abstractNumId w:val="33"/>
  </w:num>
  <w:num w:numId="34" w16cid:durableId="1075589885">
    <w:abstractNumId w:val="15"/>
  </w:num>
  <w:num w:numId="35" w16cid:durableId="1071587299">
    <w:abstractNumId w:val="36"/>
  </w:num>
  <w:num w:numId="36" w16cid:durableId="1091851232">
    <w:abstractNumId w:val="31"/>
  </w:num>
  <w:num w:numId="37" w16cid:durableId="1931697551">
    <w:abstractNumId w:val="13"/>
  </w:num>
  <w:num w:numId="38" w16cid:durableId="1849905691">
    <w:abstractNumId w:val="26"/>
  </w:num>
  <w:num w:numId="39" w16cid:durableId="276916249">
    <w:abstractNumId w:val="37"/>
  </w:num>
  <w:num w:numId="40" w16cid:durableId="935945555">
    <w:abstractNumId w:val="6"/>
  </w:num>
  <w:num w:numId="41" w16cid:durableId="1093478076">
    <w:abstractNumId w:val="9"/>
  </w:num>
  <w:num w:numId="42" w16cid:durableId="1347514231">
    <w:abstractNumId w:val="41"/>
  </w:num>
  <w:num w:numId="43" w16cid:durableId="30151458">
    <w:abstractNumId w:val="0"/>
  </w:num>
  <w:num w:numId="44" w16cid:durableId="207424313">
    <w:abstractNumId w:val="29"/>
  </w:num>
  <w:num w:numId="45" w16cid:durableId="1443723114">
    <w:abstractNumId w:val="30"/>
  </w:num>
  <w:num w:numId="46" w16cid:durableId="1609892873">
    <w:abstractNumId w:val="2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33FC"/>
    <w:rsid w:val="00013A17"/>
    <w:rsid w:val="0001511B"/>
    <w:rsid w:val="00016123"/>
    <w:rsid w:val="000172F0"/>
    <w:rsid w:val="000176F5"/>
    <w:rsid w:val="0002052C"/>
    <w:rsid w:val="00021743"/>
    <w:rsid w:val="00021CAE"/>
    <w:rsid w:val="00021F19"/>
    <w:rsid w:val="000224EE"/>
    <w:rsid w:val="0002357C"/>
    <w:rsid w:val="00024338"/>
    <w:rsid w:val="000243FC"/>
    <w:rsid w:val="00024952"/>
    <w:rsid w:val="00025358"/>
    <w:rsid w:val="000255E6"/>
    <w:rsid w:val="000259ED"/>
    <w:rsid w:val="00025E46"/>
    <w:rsid w:val="000268B8"/>
    <w:rsid w:val="00026ED2"/>
    <w:rsid w:val="00026F21"/>
    <w:rsid w:val="00027CB7"/>
    <w:rsid w:val="000301DB"/>
    <w:rsid w:val="0003026B"/>
    <w:rsid w:val="000302CC"/>
    <w:rsid w:val="00031F9D"/>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59BE"/>
    <w:rsid w:val="00045E08"/>
    <w:rsid w:val="00050318"/>
    <w:rsid w:val="00050545"/>
    <w:rsid w:val="00050957"/>
    <w:rsid w:val="00051788"/>
    <w:rsid w:val="00051C39"/>
    <w:rsid w:val="00051D27"/>
    <w:rsid w:val="000523C0"/>
    <w:rsid w:val="000527A5"/>
    <w:rsid w:val="000531E5"/>
    <w:rsid w:val="00053474"/>
    <w:rsid w:val="00053B21"/>
    <w:rsid w:val="00053BDB"/>
    <w:rsid w:val="00054BC2"/>
    <w:rsid w:val="000554F4"/>
    <w:rsid w:val="0005634C"/>
    <w:rsid w:val="00056D35"/>
    <w:rsid w:val="00056E8E"/>
    <w:rsid w:val="00056EDD"/>
    <w:rsid w:val="00056FBB"/>
    <w:rsid w:val="0005737D"/>
    <w:rsid w:val="000578FA"/>
    <w:rsid w:val="00057DED"/>
    <w:rsid w:val="00060CF2"/>
    <w:rsid w:val="00060EEF"/>
    <w:rsid w:val="00061A8B"/>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3DCB"/>
    <w:rsid w:val="000840C0"/>
    <w:rsid w:val="0008566E"/>
    <w:rsid w:val="000858A1"/>
    <w:rsid w:val="000864C9"/>
    <w:rsid w:val="00086EB0"/>
    <w:rsid w:val="00087799"/>
    <w:rsid w:val="000906ED"/>
    <w:rsid w:val="00090EB1"/>
    <w:rsid w:val="00091476"/>
    <w:rsid w:val="0009154D"/>
    <w:rsid w:val="00092D2C"/>
    <w:rsid w:val="0009326E"/>
    <w:rsid w:val="0009336F"/>
    <w:rsid w:val="00093FD9"/>
    <w:rsid w:val="00094B75"/>
    <w:rsid w:val="00094BBF"/>
    <w:rsid w:val="00094D01"/>
    <w:rsid w:val="00095687"/>
    <w:rsid w:val="00095D89"/>
    <w:rsid w:val="000962AD"/>
    <w:rsid w:val="000968A7"/>
    <w:rsid w:val="00097274"/>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95A"/>
    <w:rsid w:val="000A59EA"/>
    <w:rsid w:val="000A67D0"/>
    <w:rsid w:val="000A7CED"/>
    <w:rsid w:val="000B17DF"/>
    <w:rsid w:val="000B19D0"/>
    <w:rsid w:val="000B30E0"/>
    <w:rsid w:val="000B3965"/>
    <w:rsid w:val="000B3A01"/>
    <w:rsid w:val="000B4334"/>
    <w:rsid w:val="000B4A7F"/>
    <w:rsid w:val="000B4BCC"/>
    <w:rsid w:val="000B557C"/>
    <w:rsid w:val="000B5E5E"/>
    <w:rsid w:val="000B641D"/>
    <w:rsid w:val="000B7388"/>
    <w:rsid w:val="000B76DA"/>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961"/>
    <w:rsid w:val="000D6AA9"/>
    <w:rsid w:val="000D6E60"/>
    <w:rsid w:val="000D7462"/>
    <w:rsid w:val="000D7542"/>
    <w:rsid w:val="000D7973"/>
    <w:rsid w:val="000D7CFD"/>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5983"/>
    <w:rsid w:val="000F73C0"/>
    <w:rsid w:val="000F7CF0"/>
    <w:rsid w:val="00100FA4"/>
    <w:rsid w:val="001013C0"/>
    <w:rsid w:val="00101571"/>
    <w:rsid w:val="00102195"/>
    <w:rsid w:val="00102C01"/>
    <w:rsid w:val="0010478B"/>
    <w:rsid w:val="00104EFB"/>
    <w:rsid w:val="00105513"/>
    <w:rsid w:val="00106747"/>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61B"/>
    <w:rsid w:val="00125A88"/>
    <w:rsid w:val="00125B9F"/>
    <w:rsid w:val="001264B1"/>
    <w:rsid w:val="001265AC"/>
    <w:rsid w:val="00126A2A"/>
    <w:rsid w:val="00126AA3"/>
    <w:rsid w:val="00126D1A"/>
    <w:rsid w:val="001318C8"/>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15E"/>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C91"/>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6961"/>
    <w:rsid w:val="001873FF"/>
    <w:rsid w:val="0018757B"/>
    <w:rsid w:val="0018776C"/>
    <w:rsid w:val="00187897"/>
    <w:rsid w:val="00190181"/>
    <w:rsid w:val="001918DB"/>
    <w:rsid w:val="001920C9"/>
    <w:rsid w:val="00192258"/>
    <w:rsid w:val="00193374"/>
    <w:rsid w:val="001939E6"/>
    <w:rsid w:val="00193B86"/>
    <w:rsid w:val="00194684"/>
    <w:rsid w:val="00194909"/>
    <w:rsid w:val="00194DA2"/>
    <w:rsid w:val="0019535E"/>
    <w:rsid w:val="001966FA"/>
    <w:rsid w:val="0019671F"/>
    <w:rsid w:val="001968C8"/>
    <w:rsid w:val="00196A7C"/>
    <w:rsid w:val="0019756E"/>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4B85"/>
    <w:rsid w:val="001C5179"/>
    <w:rsid w:val="001C57E6"/>
    <w:rsid w:val="001C5B8F"/>
    <w:rsid w:val="001C6634"/>
    <w:rsid w:val="001C6638"/>
    <w:rsid w:val="001C79BE"/>
    <w:rsid w:val="001D0D3C"/>
    <w:rsid w:val="001D0DC4"/>
    <w:rsid w:val="001D185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2F33"/>
    <w:rsid w:val="001F479A"/>
    <w:rsid w:val="001F59EF"/>
    <w:rsid w:val="001F63EF"/>
    <w:rsid w:val="001F65D9"/>
    <w:rsid w:val="001F715B"/>
    <w:rsid w:val="00200136"/>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A30"/>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1281"/>
    <w:rsid w:val="00241ACF"/>
    <w:rsid w:val="00242B77"/>
    <w:rsid w:val="0024363C"/>
    <w:rsid w:val="00245B24"/>
    <w:rsid w:val="00246B61"/>
    <w:rsid w:val="00247AF0"/>
    <w:rsid w:val="00250218"/>
    <w:rsid w:val="00250262"/>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7A85"/>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506"/>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499E"/>
    <w:rsid w:val="002F5AE4"/>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E61"/>
    <w:rsid w:val="00312F60"/>
    <w:rsid w:val="0031419F"/>
    <w:rsid w:val="0031445D"/>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362E"/>
    <w:rsid w:val="003440A3"/>
    <w:rsid w:val="00344667"/>
    <w:rsid w:val="00345588"/>
    <w:rsid w:val="003458D0"/>
    <w:rsid w:val="003469BE"/>
    <w:rsid w:val="0035099A"/>
    <w:rsid w:val="003519AF"/>
    <w:rsid w:val="003527DD"/>
    <w:rsid w:val="00352C9D"/>
    <w:rsid w:val="003542FC"/>
    <w:rsid w:val="00354AC7"/>
    <w:rsid w:val="003555DE"/>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A04E3"/>
    <w:rsid w:val="003A073F"/>
    <w:rsid w:val="003A187E"/>
    <w:rsid w:val="003A1B84"/>
    <w:rsid w:val="003A2183"/>
    <w:rsid w:val="003A2340"/>
    <w:rsid w:val="003A25E4"/>
    <w:rsid w:val="003A265B"/>
    <w:rsid w:val="003A2A44"/>
    <w:rsid w:val="003A2E6A"/>
    <w:rsid w:val="003A399C"/>
    <w:rsid w:val="003A3C1B"/>
    <w:rsid w:val="003A3DCD"/>
    <w:rsid w:val="003A43DE"/>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2D69"/>
    <w:rsid w:val="003C4463"/>
    <w:rsid w:val="003C4CAB"/>
    <w:rsid w:val="003C659F"/>
    <w:rsid w:val="003C699C"/>
    <w:rsid w:val="003C6C85"/>
    <w:rsid w:val="003C6F58"/>
    <w:rsid w:val="003C7B4E"/>
    <w:rsid w:val="003C7BD5"/>
    <w:rsid w:val="003D0A6E"/>
    <w:rsid w:val="003D0AAA"/>
    <w:rsid w:val="003D228F"/>
    <w:rsid w:val="003D38E4"/>
    <w:rsid w:val="003D47C3"/>
    <w:rsid w:val="003D4CEC"/>
    <w:rsid w:val="003D4EF2"/>
    <w:rsid w:val="003D56B5"/>
    <w:rsid w:val="003D59D5"/>
    <w:rsid w:val="003D5DEA"/>
    <w:rsid w:val="003D5E81"/>
    <w:rsid w:val="003D6073"/>
    <w:rsid w:val="003D64C4"/>
    <w:rsid w:val="003D753D"/>
    <w:rsid w:val="003E2030"/>
    <w:rsid w:val="003E2697"/>
    <w:rsid w:val="003E2E7E"/>
    <w:rsid w:val="003E3112"/>
    <w:rsid w:val="003E3D82"/>
    <w:rsid w:val="003E3FA1"/>
    <w:rsid w:val="003E56D8"/>
    <w:rsid w:val="003E591F"/>
    <w:rsid w:val="003E5A06"/>
    <w:rsid w:val="003E5A54"/>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6451"/>
    <w:rsid w:val="00437054"/>
    <w:rsid w:val="004405DB"/>
    <w:rsid w:val="00440AC3"/>
    <w:rsid w:val="00440D7A"/>
    <w:rsid w:val="00440EA2"/>
    <w:rsid w:val="004410AD"/>
    <w:rsid w:val="00441909"/>
    <w:rsid w:val="00441AC0"/>
    <w:rsid w:val="00442549"/>
    <w:rsid w:val="0044493E"/>
    <w:rsid w:val="00444F50"/>
    <w:rsid w:val="00446921"/>
    <w:rsid w:val="004505D5"/>
    <w:rsid w:val="004508F4"/>
    <w:rsid w:val="0045163F"/>
    <w:rsid w:val="00451FC4"/>
    <w:rsid w:val="00452702"/>
    <w:rsid w:val="004530B2"/>
    <w:rsid w:val="00454FEA"/>
    <w:rsid w:val="004564B4"/>
    <w:rsid w:val="004570AC"/>
    <w:rsid w:val="00457CEC"/>
    <w:rsid w:val="00457D58"/>
    <w:rsid w:val="004611DF"/>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62AE"/>
    <w:rsid w:val="00476399"/>
    <w:rsid w:val="0047674A"/>
    <w:rsid w:val="004775D5"/>
    <w:rsid w:val="00477C5F"/>
    <w:rsid w:val="00477EDE"/>
    <w:rsid w:val="00480051"/>
    <w:rsid w:val="004807A0"/>
    <w:rsid w:val="004807F5"/>
    <w:rsid w:val="004814A1"/>
    <w:rsid w:val="004817E8"/>
    <w:rsid w:val="004829AA"/>
    <w:rsid w:val="00483F35"/>
    <w:rsid w:val="00483FD0"/>
    <w:rsid w:val="00484B1D"/>
    <w:rsid w:val="00486D60"/>
    <w:rsid w:val="004872F6"/>
    <w:rsid w:val="00487E60"/>
    <w:rsid w:val="00490442"/>
    <w:rsid w:val="00490A92"/>
    <w:rsid w:val="00490D56"/>
    <w:rsid w:val="00490D58"/>
    <w:rsid w:val="00491616"/>
    <w:rsid w:val="0049209C"/>
    <w:rsid w:val="00492294"/>
    <w:rsid w:val="0049234E"/>
    <w:rsid w:val="00492730"/>
    <w:rsid w:val="00492B3A"/>
    <w:rsid w:val="00493510"/>
    <w:rsid w:val="00494080"/>
    <w:rsid w:val="00494761"/>
    <w:rsid w:val="00495002"/>
    <w:rsid w:val="00496714"/>
    <w:rsid w:val="004A039E"/>
    <w:rsid w:val="004A0E95"/>
    <w:rsid w:val="004A126D"/>
    <w:rsid w:val="004A159A"/>
    <w:rsid w:val="004A37FD"/>
    <w:rsid w:val="004A49BE"/>
    <w:rsid w:val="004A4CC8"/>
    <w:rsid w:val="004A5211"/>
    <w:rsid w:val="004A525E"/>
    <w:rsid w:val="004A53E3"/>
    <w:rsid w:val="004A5678"/>
    <w:rsid w:val="004A5DDD"/>
    <w:rsid w:val="004A6E1C"/>
    <w:rsid w:val="004B01E1"/>
    <w:rsid w:val="004B0E42"/>
    <w:rsid w:val="004B1375"/>
    <w:rsid w:val="004B1E5A"/>
    <w:rsid w:val="004B229D"/>
    <w:rsid w:val="004B4262"/>
    <w:rsid w:val="004B4F5F"/>
    <w:rsid w:val="004B5283"/>
    <w:rsid w:val="004B686B"/>
    <w:rsid w:val="004B6B97"/>
    <w:rsid w:val="004B6DE2"/>
    <w:rsid w:val="004B7524"/>
    <w:rsid w:val="004C00A5"/>
    <w:rsid w:val="004C04DF"/>
    <w:rsid w:val="004C0828"/>
    <w:rsid w:val="004C094C"/>
    <w:rsid w:val="004C0C33"/>
    <w:rsid w:val="004C0D4F"/>
    <w:rsid w:val="004C3495"/>
    <w:rsid w:val="004C3603"/>
    <w:rsid w:val="004C3D17"/>
    <w:rsid w:val="004C41DC"/>
    <w:rsid w:val="004C48D3"/>
    <w:rsid w:val="004C74E9"/>
    <w:rsid w:val="004C7F1F"/>
    <w:rsid w:val="004D09CC"/>
    <w:rsid w:val="004D1B24"/>
    <w:rsid w:val="004D1B6D"/>
    <w:rsid w:val="004D3652"/>
    <w:rsid w:val="004D4494"/>
    <w:rsid w:val="004D48B4"/>
    <w:rsid w:val="004D4B1A"/>
    <w:rsid w:val="004D4D0C"/>
    <w:rsid w:val="004D4ED2"/>
    <w:rsid w:val="004D5613"/>
    <w:rsid w:val="004D569C"/>
    <w:rsid w:val="004D63AF"/>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1F7F"/>
    <w:rsid w:val="004F217D"/>
    <w:rsid w:val="004F3225"/>
    <w:rsid w:val="004F3A20"/>
    <w:rsid w:val="004F466E"/>
    <w:rsid w:val="004F48CA"/>
    <w:rsid w:val="004F4E7F"/>
    <w:rsid w:val="004F5A32"/>
    <w:rsid w:val="004F5ADB"/>
    <w:rsid w:val="004F60B1"/>
    <w:rsid w:val="004F6F6D"/>
    <w:rsid w:val="00500476"/>
    <w:rsid w:val="005006F3"/>
    <w:rsid w:val="0050078D"/>
    <w:rsid w:val="00501587"/>
    <w:rsid w:val="0050327B"/>
    <w:rsid w:val="005063B3"/>
    <w:rsid w:val="0050694D"/>
    <w:rsid w:val="00506B77"/>
    <w:rsid w:val="00507AA3"/>
    <w:rsid w:val="005102D5"/>
    <w:rsid w:val="00510895"/>
    <w:rsid w:val="0051133A"/>
    <w:rsid w:val="0051176D"/>
    <w:rsid w:val="00512086"/>
    <w:rsid w:val="00512B48"/>
    <w:rsid w:val="00512ECA"/>
    <w:rsid w:val="005138D6"/>
    <w:rsid w:val="00513BB0"/>
    <w:rsid w:val="00514DF7"/>
    <w:rsid w:val="0051551E"/>
    <w:rsid w:val="0051671A"/>
    <w:rsid w:val="00516D6D"/>
    <w:rsid w:val="00516FDB"/>
    <w:rsid w:val="00517583"/>
    <w:rsid w:val="00517C19"/>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2191"/>
    <w:rsid w:val="00533C6E"/>
    <w:rsid w:val="005351E8"/>
    <w:rsid w:val="0053629F"/>
    <w:rsid w:val="00536BA8"/>
    <w:rsid w:val="00536D04"/>
    <w:rsid w:val="00537411"/>
    <w:rsid w:val="00540473"/>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C9F"/>
    <w:rsid w:val="00555D4D"/>
    <w:rsid w:val="0055702A"/>
    <w:rsid w:val="005572CC"/>
    <w:rsid w:val="00557767"/>
    <w:rsid w:val="005610EE"/>
    <w:rsid w:val="0056119B"/>
    <w:rsid w:val="00561599"/>
    <w:rsid w:val="00562102"/>
    <w:rsid w:val="005631E1"/>
    <w:rsid w:val="0056322F"/>
    <w:rsid w:val="0056761B"/>
    <w:rsid w:val="005704EA"/>
    <w:rsid w:val="00571DAA"/>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549"/>
    <w:rsid w:val="00596454"/>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476"/>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FC"/>
    <w:rsid w:val="0060548F"/>
    <w:rsid w:val="006054C2"/>
    <w:rsid w:val="006057F5"/>
    <w:rsid w:val="00605FE9"/>
    <w:rsid w:val="0060691C"/>
    <w:rsid w:val="00606994"/>
    <w:rsid w:val="00606EA8"/>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F22"/>
    <w:rsid w:val="00614FC8"/>
    <w:rsid w:val="0061540B"/>
    <w:rsid w:val="006161D6"/>
    <w:rsid w:val="006167FE"/>
    <w:rsid w:val="00617428"/>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274"/>
    <w:rsid w:val="00643B46"/>
    <w:rsid w:val="006458B5"/>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6931"/>
    <w:rsid w:val="006573F3"/>
    <w:rsid w:val="00657CEA"/>
    <w:rsid w:val="00660090"/>
    <w:rsid w:val="00660229"/>
    <w:rsid w:val="00660881"/>
    <w:rsid w:val="00660891"/>
    <w:rsid w:val="006608A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77DB"/>
    <w:rsid w:val="00687842"/>
    <w:rsid w:val="00687C17"/>
    <w:rsid w:val="0069017A"/>
    <w:rsid w:val="00690490"/>
    <w:rsid w:val="006918EE"/>
    <w:rsid w:val="00691F11"/>
    <w:rsid w:val="00692682"/>
    <w:rsid w:val="00692A6A"/>
    <w:rsid w:val="00692F61"/>
    <w:rsid w:val="00692F75"/>
    <w:rsid w:val="00694373"/>
    <w:rsid w:val="0069504A"/>
    <w:rsid w:val="00695558"/>
    <w:rsid w:val="00695FEA"/>
    <w:rsid w:val="0069618B"/>
    <w:rsid w:val="0069658E"/>
    <w:rsid w:val="00696C66"/>
    <w:rsid w:val="006A05A5"/>
    <w:rsid w:val="006A0CBB"/>
    <w:rsid w:val="006A1353"/>
    <w:rsid w:val="006A2C54"/>
    <w:rsid w:val="006A3B3B"/>
    <w:rsid w:val="006A48AC"/>
    <w:rsid w:val="006A4A7F"/>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A30"/>
    <w:rsid w:val="006D1BCA"/>
    <w:rsid w:val="006D30E6"/>
    <w:rsid w:val="006D35B4"/>
    <w:rsid w:val="006D5047"/>
    <w:rsid w:val="006D516E"/>
    <w:rsid w:val="006D53B5"/>
    <w:rsid w:val="006D669F"/>
    <w:rsid w:val="006D7810"/>
    <w:rsid w:val="006E064C"/>
    <w:rsid w:val="006E0B5C"/>
    <w:rsid w:val="006E0C02"/>
    <w:rsid w:val="006E1452"/>
    <w:rsid w:val="006E16E6"/>
    <w:rsid w:val="006E1ECC"/>
    <w:rsid w:val="006E2D78"/>
    <w:rsid w:val="006E2E2A"/>
    <w:rsid w:val="006E390D"/>
    <w:rsid w:val="006E41D3"/>
    <w:rsid w:val="006E485F"/>
    <w:rsid w:val="006E5442"/>
    <w:rsid w:val="006E5CE9"/>
    <w:rsid w:val="006E64EB"/>
    <w:rsid w:val="006E6706"/>
    <w:rsid w:val="006E673E"/>
    <w:rsid w:val="006E6835"/>
    <w:rsid w:val="006E6B0E"/>
    <w:rsid w:val="006E70D7"/>
    <w:rsid w:val="006E7539"/>
    <w:rsid w:val="006E7A02"/>
    <w:rsid w:val="006E7BA8"/>
    <w:rsid w:val="006E7C54"/>
    <w:rsid w:val="006F0A12"/>
    <w:rsid w:val="006F0BA8"/>
    <w:rsid w:val="006F0D1F"/>
    <w:rsid w:val="006F0EB1"/>
    <w:rsid w:val="006F0F10"/>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B60"/>
    <w:rsid w:val="00701BF4"/>
    <w:rsid w:val="00702525"/>
    <w:rsid w:val="007025E1"/>
    <w:rsid w:val="00702C53"/>
    <w:rsid w:val="00703608"/>
    <w:rsid w:val="00704106"/>
    <w:rsid w:val="007050EC"/>
    <w:rsid w:val="0070633A"/>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3AC2"/>
    <w:rsid w:val="0075428B"/>
    <w:rsid w:val="00755098"/>
    <w:rsid w:val="00755C20"/>
    <w:rsid w:val="0075784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0B89"/>
    <w:rsid w:val="007717DE"/>
    <w:rsid w:val="00771980"/>
    <w:rsid w:val="00771EDD"/>
    <w:rsid w:val="00772586"/>
    <w:rsid w:val="007729AF"/>
    <w:rsid w:val="00772DAA"/>
    <w:rsid w:val="00772FF5"/>
    <w:rsid w:val="00773373"/>
    <w:rsid w:val="00773A5A"/>
    <w:rsid w:val="007741C0"/>
    <w:rsid w:val="0077426D"/>
    <w:rsid w:val="00775200"/>
    <w:rsid w:val="00776DC6"/>
    <w:rsid w:val="00777681"/>
    <w:rsid w:val="00777880"/>
    <w:rsid w:val="007806A8"/>
    <w:rsid w:val="00781085"/>
    <w:rsid w:val="007815D3"/>
    <w:rsid w:val="00781AB8"/>
    <w:rsid w:val="00782A3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9C"/>
    <w:rsid w:val="007940E6"/>
    <w:rsid w:val="00795115"/>
    <w:rsid w:val="00795E20"/>
    <w:rsid w:val="0079602E"/>
    <w:rsid w:val="007964C8"/>
    <w:rsid w:val="00797130"/>
    <w:rsid w:val="00797465"/>
    <w:rsid w:val="00797539"/>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B10"/>
    <w:rsid w:val="007A5E8D"/>
    <w:rsid w:val="007A5E95"/>
    <w:rsid w:val="007A734B"/>
    <w:rsid w:val="007A79FC"/>
    <w:rsid w:val="007A7DBF"/>
    <w:rsid w:val="007B1830"/>
    <w:rsid w:val="007B2B5C"/>
    <w:rsid w:val="007B2D08"/>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E34"/>
    <w:rsid w:val="007D0352"/>
    <w:rsid w:val="007D12BA"/>
    <w:rsid w:val="007D1486"/>
    <w:rsid w:val="007D14A1"/>
    <w:rsid w:val="007D2122"/>
    <w:rsid w:val="007D38AC"/>
    <w:rsid w:val="007D3BC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5A9"/>
    <w:rsid w:val="007F0B3F"/>
    <w:rsid w:val="007F0BBB"/>
    <w:rsid w:val="007F17E9"/>
    <w:rsid w:val="007F1ECB"/>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F8E"/>
    <w:rsid w:val="0081300B"/>
    <w:rsid w:val="00813427"/>
    <w:rsid w:val="00815233"/>
    <w:rsid w:val="00815484"/>
    <w:rsid w:val="008159CC"/>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248C"/>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90B"/>
    <w:rsid w:val="00873941"/>
    <w:rsid w:val="00873959"/>
    <w:rsid w:val="00874380"/>
    <w:rsid w:val="00874595"/>
    <w:rsid w:val="00874AEC"/>
    <w:rsid w:val="00875752"/>
    <w:rsid w:val="00876EF6"/>
    <w:rsid w:val="00876F74"/>
    <w:rsid w:val="008804CD"/>
    <w:rsid w:val="008806E4"/>
    <w:rsid w:val="008809D5"/>
    <w:rsid w:val="00880DC8"/>
    <w:rsid w:val="00880E4F"/>
    <w:rsid w:val="00882774"/>
    <w:rsid w:val="0088483A"/>
    <w:rsid w:val="00884AB6"/>
    <w:rsid w:val="00885DFA"/>
    <w:rsid w:val="00886054"/>
    <w:rsid w:val="00887FA8"/>
    <w:rsid w:val="0089104A"/>
    <w:rsid w:val="008935AB"/>
    <w:rsid w:val="00893F0E"/>
    <w:rsid w:val="00894253"/>
    <w:rsid w:val="00894A50"/>
    <w:rsid w:val="00895E36"/>
    <w:rsid w:val="00895FF3"/>
    <w:rsid w:val="00896227"/>
    <w:rsid w:val="00896491"/>
    <w:rsid w:val="00896739"/>
    <w:rsid w:val="008968DC"/>
    <w:rsid w:val="00896918"/>
    <w:rsid w:val="00896D3C"/>
    <w:rsid w:val="0089703E"/>
    <w:rsid w:val="00897096"/>
    <w:rsid w:val="00897EE1"/>
    <w:rsid w:val="008A0D74"/>
    <w:rsid w:val="008A1816"/>
    <w:rsid w:val="008A1E57"/>
    <w:rsid w:val="008A2144"/>
    <w:rsid w:val="008A244A"/>
    <w:rsid w:val="008A2CBD"/>
    <w:rsid w:val="008A2DA5"/>
    <w:rsid w:val="008A3CDD"/>
    <w:rsid w:val="008A3F49"/>
    <w:rsid w:val="008A4713"/>
    <w:rsid w:val="008A5B07"/>
    <w:rsid w:val="008A6BF4"/>
    <w:rsid w:val="008A71CC"/>
    <w:rsid w:val="008A74A8"/>
    <w:rsid w:val="008B0B5B"/>
    <w:rsid w:val="008B20FD"/>
    <w:rsid w:val="008B2281"/>
    <w:rsid w:val="008B2DE0"/>
    <w:rsid w:val="008B41B3"/>
    <w:rsid w:val="008B461C"/>
    <w:rsid w:val="008B4F34"/>
    <w:rsid w:val="008B595F"/>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563"/>
    <w:rsid w:val="00903805"/>
    <w:rsid w:val="00903CBE"/>
    <w:rsid w:val="00903D71"/>
    <w:rsid w:val="00904A0E"/>
    <w:rsid w:val="00904CE4"/>
    <w:rsid w:val="00905989"/>
    <w:rsid w:val="00905DDB"/>
    <w:rsid w:val="0090612D"/>
    <w:rsid w:val="00906506"/>
    <w:rsid w:val="00906BFC"/>
    <w:rsid w:val="00906D29"/>
    <w:rsid w:val="0090736B"/>
    <w:rsid w:val="00907B79"/>
    <w:rsid w:val="00910C6D"/>
    <w:rsid w:val="00911055"/>
    <w:rsid w:val="00911559"/>
    <w:rsid w:val="00911E0D"/>
    <w:rsid w:val="0091221D"/>
    <w:rsid w:val="00913D7F"/>
    <w:rsid w:val="009156E7"/>
    <w:rsid w:val="009168DE"/>
    <w:rsid w:val="00921225"/>
    <w:rsid w:val="00921C43"/>
    <w:rsid w:val="0092251F"/>
    <w:rsid w:val="009236DA"/>
    <w:rsid w:val="00923A06"/>
    <w:rsid w:val="00924A1A"/>
    <w:rsid w:val="009259E6"/>
    <w:rsid w:val="00926483"/>
    <w:rsid w:val="00927186"/>
    <w:rsid w:val="00931141"/>
    <w:rsid w:val="009312F2"/>
    <w:rsid w:val="00931573"/>
    <w:rsid w:val="00931D05"/>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5AF"/>
    <w:rsid w:val="00975937"/>
    <w:rsid w:val="009768AE"/>
    <w:rsid w:val="009771E3"/>
    <w:rsid w:val="00980459"/>
    <w:rsid w:val="00980625"/>
    <w:rsid w:val="00983F05"/>
    <w:rsid w:val="00983F47"/>
    <w:rsid w:val="009849C3"/>
    <w:rsid w:val="009851D9"/>
    <w:rsid w:val="009856BA"/>
    <w:rsid w:val="00986177"/>
    <w:rsid w:val="0098673B"/>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4F03"/>
    <w:rsid w:val="009A7384"/>
    <w:rsid w:val="009B0FF4"/>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42E6"/>
    <w:rsid w:val="009C5162"/>
    <w:rsid w:val="009C5659"/>
    <w:rsid w:val="009C6971"/>
    <w:rsid w:val="009C734E"/>
    <w:rsid w:val="009C74CC"/>
    <w:rsid w:val="009C7526"/>
    <w:rsid w:val="009C7593"/>
    <w:rsid w:val="009C7678"/>
    <w:rsid w:val="009C7860"/>
    <w:rsid w:val="009D0ED7"/>
    <w:rsid w:val="009D10E4"/>
    <w:rsid w:val="009D1827"/>
    <w:rsid w:val="009D2317"/>
    <w:rsid w:val="009D281D"/>
    <w:rsid w:val="009D29AE"/>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18DA"/>
    <w:rsid w:val="009F1BC3"/>
    <w:rsid w:val="009F25D0"/>
    <w:rsid w:val="009F5311"/>
    <w:rsid w:val="009F5925"/>
    <w:rsid w:val="009F6496"/>
    <w:rsid w:val="009F68A4"/>
    <w:rsid w:val="009F737C"/>
    <w:rsid w:val="00A008A7"/>
    <w:rsid w:val="00A009EB"/>
    <w:rsid w:val="00A0177A"/>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D63"/>
    <w:rsid w:val="00A1525D"/>
    <w:rsid w:val="00A15587"/>
    <w:rsid w:val="00A16529"/>
    <w:rsid w:val="00A17D3C"/>
    <w:rsid w:val="00A21108"/>
    <w:rsid w:val="00A21F09"/>
    <w:rsid w:val="00A23789"/>
    <w:rsid w:val="00A23F5F"/>
    <w:rsid w:val="00A251D4"/>
    <w:rsid w:val="00A265AA"/>
    <w:rsid w:val="00A26629"/>
    <w:rsid w:val="00A2687D"/>
    <w:rsid w:val="00A26987"/>
    <w:rsid w:val="00A26E14"/>
    <w:rsid w:val="00A27EB9"/>
    <w:rsid w:val="00A300B2"/>
    <w:rsid w:val="00A31AAB"/>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B7F"/>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6D3A"/>
    <w:rsid w:val="00A573E4"/>
    <w:rsid w:val="00A60132"/>
    <w:rsid w:val="00A60382"/>
    <w:rsid w:val="00A60DE6"/>
    <w:rsid w:val="00A60F29"/>
    <w:rsid w:val="00A623A8"/>
    <w:rsid w:val="00A623C4"/>
    <w:rsid w:val="00A62893"/>
    <w:rsid w:val="00A62E16"/>
    <w:rsid w:val="00A62FBC"/>
    <w:rsid w:val="00A64C07"/>
    <w:rsid w:val="00A64E58"/>
    <w:rsid w:val="00A64E9F"/>
    <w:rsid w:val="00A672A2"/>
    <w:rsid w:val="00A672F0"/>
    <w:rsid w:val="00A7135F"/>
    <w:rsid w:val="00A71652"/>
    <w:rsid w:val="00A7168C"/>
    <w:rsid w:val="00A71CA3"/>
    <w:rsid w:val="00A71FC8"/>
    <w:rsid w:val="00A74196"/>
    <w:rsid w:val="00A74252"/>
    <w:rsid w:val="00A742CB"/>
    <w:rsid w:val="00A74337"/>
    <w:rsid w:val="00A74735"/>
    <w:rsid w:val="00A74974"/>
    <w:rsid w:val="00A7506F"/>
    <w:rsid w:val="00A76EAC"/>
    <w:rsid w:val="00A80A9D"/>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6612"/>
    <w:rsid w:val="00AA7890"/>
    <w:rsid w:val="00AB1A48"/>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2096"/>
    <w:rsid w:val="00AC3991"/>
    <w:rsid w:val="00AC3CFE"/>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E0377"/>
    <w:rsid w:val="00AE0616"/>
    <w:rsid w:val="00AE1083"/>
    <w:rsid w:val="00AE1227"/>
    <w:rsid w:val="00AE1229"/>
    <w:rsid w:val="00AE2010"/>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884"/>
    <w:rsid w:val="00B02280"/>
    <w:rsid w:val="00B0307A"/>
    <w:rsid w:val="00B068F8"/>
    <w:rsid w:val="00B06DCC"/>
    <w:rsid w:val="00B073CB"/>
    <w:rsid w:val="00B0774E"/>
    <w:rsid w:val="00B07F1E"/>
    <w:rsid w:val="00B106AA"/>
    <w:rsid w:val="00B10FCB"/>
    <w:rsid w:val="00B12A56"/>
    <w:rsid w:val="00B131B8"/>
    <w:rsid w:val="00B14182"/>
    <w:rsid w:val="00B1529A"/>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54E5"/>
    <w:rsid w:val="00B2556B"/>
    <w:rsid w:val="00B25DA4"/>
    <w:rsid w:val="00B26D04"/>
    <w:rsid w:val="00B30C0B"/>
    <w:rsid w:val="00B32116"/>
    <w:rsid w:val="00B3277E"/>
    <w:rsid w:val="00B32AB9"/>
    <w:rsid w:val="00B33AA4"/>
    <w:rsid w:val="00B33C27"/>
    <w:rsid w:val="00B33CF9"/>
    <w:rsid w:val="00B33D24"/>
    <w:rsid w:val="00B33DD1"/>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47819"/>
    <w:rsid w:val="00B507C9"/>
    <w:rsid w:val="00B50847"/>
    <w:rsid w:val="00B50FBA"/>
    <w:rsid w:val="00B514F8"/>
    <w:rsid w:val="00B521EC"/>
    <w:rsid w:val="00B5268A"/>
    <w:rsid w:val="00B52F73"/>
    <w:rsid w:val="00B532C4"/>
    <w:rsid w:val="00B5342A"/>
    <w:rsid w:val="00B57A45"/>
    <w:rsid w:val="00B60057"/>
    <w:rsid w:val="00B600AC"/>
    <w:rsid w:val="00B60A77"/>
    <w:rsid w:val="00B61E48"/>
    <w:rsid w:val="00B62E85"/>
    <w:rsid w:val="00B63DEC"/>
    <w:rsid w:val="00B64047"/>
    <w:rsid w:val="00B7074B"/>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3DF3"/>
    <w:rsid w:val="00B83FCB"/>
    <w:rsid w:val="00B84BDD"/>
    <w:rsid w:val="00B8575E"/>
    <w:rsid w:val="00B865E8"/>
    <w:rsid w:val="00B86BA3"/>
    <w:rsid w:val="00B874B7"/>
    <w:rsid w:val="00B8792A"/>
    <w:rsid w:val="00B901B1"/>
    <w:rsid w:val="00B90483"/>
    <w:rsid w:val="00B9070D"/>
    <w:rsid w:val="00B91E94"/>
    <w:rsid w:val="00B91EB7"/>
    <w:rsid w:val="00B92059"/>
    <w:rsid w:val="00B92154"/>
    <w:rsid w:val="00B92331"/>
    <w:rsid w:val="00B9277A"/>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6849"/>
    <w:rsid w:val="00BA6B5B"/>
    <w:rsid w:val="00BA7DB9"/>
    <w:rsid w:val="00BB0253"/>
    <w:rsid w:val="00BB1B41"/>
    <w:rsid w:val="00BB1F6D"/>
    <w:rsid w:val="00BB268A"/>
    <w:rsid w:val="00BB2F16"/>
    <w:rsid w:val="00BB3566"/>
    <w:rsid w:val="00BB35F0"/>
    <w:rsid w:val="00BB4300"/>
    <w:rsid w:val="00BB4D3C"/>
    <w:rsid w:val="00BB64B2"/>
    <w:rsid w:val="00BB75E2"/>
    <w:rsid w:val="00BB7BDE"/>
    <w:rsid w:val="00BB7F02"/>
    <w:rsid w:val="00BC00F9"/>
    <w:rsid w:val="00BC03B9"/>
    <w:rsid w:val="00BC091F"/>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058"/>
    <w:rsid w:val="00BD1197"/>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C1E"/>
    <w:rsid w:val="00BE64A0"/>
    <w:rsid w:val="00BE6DE9"/>
    <w:rsid w:val="00BE703B"/>
    <w:rsid w:val="00BF1E3E"/>
    <w:rsid w:val="00BF2130"/>
    <w:rsid w:val="00BF509F"/>
    <w:rsid w:val="00BF556F"/>
    <w:rsid w:val="00BF648F"/>
    <w:rsid w:val="00BF6968"/>
    <w:rsid w:val="00BF7956"/>
    <w:rsid w:val="00C0041C"/>
    <w:rsid w:val="00C0056C"/>
    <w:rsid w:val="00C01802"/>
    <w:rsid w:val="00C030D9"/>
    <w:rsid w:val="00C031BC"/>
    <w:rsid w:val="00C03518"/>
    <w:rsid w:val="00C04005"/>
    <w:rsid w:val="00C05A38"/>
    <w:rsid w:val="00C05D08"/>
    <w:rsid w:val="00C07CAF"/>
    <w:rsid w:val="00C07CBF"/>
    <w:rsid w:val="00C10078"/>
    <w:rsid w:val="00C1249F"/>
    <w:rsid w:val="00C124ED"/>
    <w:rsid w:val="00C125C3"/>
    <w:rsid w:val="00C13140"/>
    <w:rsid w:val="00C13336"/>
    <w:rsid w:val="00C1339D"/>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69F7"/>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5AA"/>
    <w:rsid w:val="00C52DC4"/>
    <w:rsid w:val="00C540FE"/>
    <w:rsid w:val="00C54AAD"/>
    <w:rsid w:val="00C553B1"/>
    <w:rsid w:val="00C555D3"/>
    <w:rsid w:val="00C5567B"/>
    <w:rsid w:val="00C55CCF"/>
    <w:rsid w:val="00C5755B"/>
    <w:rsid w:val="00C57A07"/>
    <w:rsid w:val="00C6064D"/>
    <w:rsid w:val="00C6098C"/>
    <w:rsid w:val="00C61408"/>
    <w:rsid w:val="00C61659"/>
    <w:rsid w:val="00C6254B"/>
    <w:rsid w:val="00C6256B"/>
    <w:rsid w:val="00C62D3F"/>
    <w:rsid w:val="00C631F0"/>
    <w:rsid w:val="00C638F0"/>
    <w:rsid w:val="00C655B9"/>
    <w:rsid w:val="00C65A8D"/>
    <w:rsid w:val="00C65FEA"/>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87874"/>
    <w:rsid w:val="00C9017B"/>
    <w:rsid w:val="00C90760"/>
    <w:rsid w:val="00C90D48"/>
    <w:rsid w:val="00C914C9"/>
    <w:rsid w:val="00C92353"/>
    <w:rsid w:val="00C928BD"/>
    <w:rsid w:val="00C9366E"/>
    <w:rsid w:val="00C936FD"/>
    <w:rsid w:val="00C94242"/>
    <w:rsid w:val="00C955B7"/>
    <w:rsid w:val="00C96036"/>
    <w:rsid w:val="00C97473"/>
    <w:rsid w:val="00CA003A"/>
    <w:rsid w:val="00CA09C0"/>
    <w:rsid w:val="00CA2170"/>
    <w:rsid w:val="00CA2C52"/>
    <w:rsid w:val="00CA4855"/>
    <w:rsid w:val="00CA526D"/>
    <w:rsid w:val="00CA5914"/>
    <w:rsid w:val="00CA5D8F"/>
    <w:rsid w:val="00CA713F"/>
    <w:rsid w:val="00CA728E"/>
    <w:rsid w:val="00CA748C"/>
    <w:rsid w:val="00CA7B55"/>
    <w:rsid w:val="00CB0C4A"/>
    <w:rsid w:val="00CB16CC"/>
    <w:rsid w:val="00CB199B"/>
    <w:rsid w:val="00CB22AB"/>
    <w:rsid w:val="00CB3989"/>
    <w:rsid w:val="00CB486B"/>
    <w:rsid w:val="00CB4DF7"/>
    <w:rsid w:val="00CB5883"/>
    <w:rsid w:val="00CB59B6"/>
    <w:rsid w:val="00CB59D8"/>
    <w:rsid w:val="00CB5D4C"/>
    <w:rsid w:val="00CB6544"/>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407B"/>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C3A"/>
    <w:rsid w:val="00CF483E"/>
    <w:rsid w:val="00CF651B"/>
    <w:rsid w:val="00CF7BE2"/>
    <w:rsid w:val="00CF7FA4"/>
    <w:rsid w:val="00D00415"/>
    <w:rsid w:val="00D00AB8"/>
    <w:rsid w:val="00D00E41"/>
    <w:rsid w:val="00D0197A"/>
    <w:rsid w:val="00D01DBE"/>
    <w:rsid w:val="00D031E1"/>
    <w:rsid w:val="00D04B3F"/>
    <w:rsid w:val="00D05D8C"/>
    <w:rsid w:val="00D10A4D"/>
    <w:rsid w:val="00D10A90"/>
    <w:rsid w:val="00D12757"/>
    <w:rsid w:val="00D12DD3"/>
    <w:rsid w:val="00D12EA6"/>
    <w:rsid w:val="00D13F25"/>
    <w:rsid w:val="00D16748"/>
    <w:rsid w:val="00D16F9E"/>
    <w:rsid w:val="00D16FA6"/>
    <w:rsid w:val="00D174D2"/>
    <w:rsid w:val="00D2062E"/>
    <w:rsid w:val="00D206A5"/>
    <w:rsid w:val="00D21171"/>
    <w:rsid w:val="00D221D7"/>
    <w:rsid w:val="00D22A65"/>
    <w:rsid w:val="00D243A7"/>
    <w:rsid w:val="00D24630"/>
    <w:rsid w:val="00D25054"/>
    <w:rsid w:val="00D25761"/>
    <w:rsid w:val="00D27086"/>
    <w:rsid w:val="00D27253"/>
    <w:rsid w:val="00D27607"/>
    <w:rsid w:val="00D276C3"/>
    <w:rsid w:val="00D27D23"/>
    <w:rsid w:val="00D27F36"/>
    <w:rsid w:val="00D30B19"/>
    <w:rsid w:val="00D313E1"/>
    <w:rsid w:val="00D31FCA"/>
    <w:rsid w:val="00D320BA"/>
    <w:rsid w:val="00D32458"/>
    <w:rsid w:val="00D34215"/>
    <w:rsid w:val="00D34302"/>
    <w:rsid w:val="00D3588A"/>
    <w:rsid w:val="00D35BF9"/>
    <w:rsid w:val="00D35D79"/>
    <w:rsid w:val="00D40575"/>
    <w:rsid w:val="00D4138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2D1"/>
    <w:rsid w:val="00D674F4"/>
    <w:rsid w:val="00D6770F"/>
    <w:rsid w:val="00D67C8C"/>
    <w:rsid w:val="00D7020E"/>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2714"/>
    <w:rsid w:val="00D82BD6"/>
    <w:rsid w:val="00D830B5"/>
    <w:rsid w:val="00D830F5"/>
    <w:rsid w:val="00D831DB"/>
    <w:rsid w:val="00D834DE"/>
    <w:rsid w:val="00D836ED"/>
    <w:rsid w:val="00D839D8"/>
    <w:rsid w:val="00D83F9C"/>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180D"/>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AE6"/>
    <w:rsid w:val="00DC0F3F"/>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5E6"/>
    <w:rsid w:val="00DD1B10"/>
    <w:rsid w:val="00DD33F7"/>
    <w:rsid w:val="00DD3DF9"/>
    <w:rsid w:val="00DD4105"/>
    <w:rsid w:val="00DD44AA"/>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408"/>
    <w:rsid w:val="00E069B3"/>
    <w:rsid w:val="00E06AED"/>
    <w:rsid w:val="00E06BC5"/>
    <w:rsid w:val="00E06DD6"/>
    <w:rsid w:val="00E076E5"/>
    <w:rsid w:val="00E07CD5"/>
    <w:rsid w:val="00E113F6"/>
    <w:rsid w:val="00E12987"/>
    <w:rsid w:val="00E13195"/>
    <w:rsid w:val="00E14449"/>
    <w:rsid w:val="00E14FAC"/>
    <w:rsid w:val="00E15407"/>
    <w:rsid w:val="00E15752"/>
    <w:rsid w:val="00E1577F"/>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6F0"/>
    <w:rsid w:val="00E357B6"/>
    <w:rsid w:val="00E35CD0"/>
    <w:rsid w:val="00E365AF"/>
    <w:rsid w:val="00E3685C"/>
    <w:rsid w:val="00E37075"/>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920"/>
    <w:rsid w:val="00E820E1"/>
    <w:rsid w:val="00E82BEF"/>
    <w:rsid w:val="00E82F46"/>
    <w:rsid w:val="00E83EB0"/>
    <w:rsid w:val="00E84EA5"/>
    <w:rsid w:val="00E85466"/>
    <w:rsid w:val="00E868FF"/>
    <w:rsid w:val="00E86F5D"/>
    <w:rsid w:val="00E87A87"/>
    <w:rsid w:val="00E87C8A"/>
    <w:rsid w:val="00E87CFD"/>
    <w:rsid w:val="00E87DB5"/>
    <w:rsid w:val="00E87DDB"/>
    <w:rsid w:val="00E87F02"/>
    <w:rsid w:val="00E90DA1"/>
    <w:rsid w:val="00E910B1"/>
    <w:rsid w:val="00E9168A"/>
    <w:rsid w:val="00E93CF8"/>
    <w:rsid w:val="00E9436D"/>
    <w:rsid w:val="00E94851"/>
    <w:rsid w:val="00E94A62"/>
    <w:rsid w:val="00E9527A"/>
    <w:rsid w:val="00E95933"/>
    <w:rsid w:val="00E96978"/>
    <w:rsid w:val="00E96AEE"/>
    <w:rsid w:val="00E9714D"/>
    <w:rsid w:val="00E9777C"/>
    <w:rsid w:val="00E97ADE"/>
    <w:rsid w:val="00EA0DC8"/>
    <w:rsid w:val="00EA1903"/>
    <w:rsid w:val="00EA28F3"/>
    <w:rsid w:val="00EA2B7F"/>
    <w:rsid w:val="00EA3806"/>
    <w:rsid w:val="00EA398C"/>
    <w:rsid w:val="00EA3CF1"/>
    <w:rsid w:val="00EA3EA6"/>
    <w:rsid w:val="00EA4A06"/>
    <w:rsid w:val="00EA5639"/>
    <w:rsid w:val="00EA5C53"/>
    <w:rsid w:val="00EA6CB3"/>
    <w:rsid w:val="00EA6DCD"/>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7B39"/>
    <w:rsid w:val="00ED7C3F"/>
    <w:rsid w:val="00EE1C88"/>
    <w:rsid w:val="00EE2874"/>
    <w:rsid w:val="00EE2914"/>
    <w:rsid w:val="00EE3E5B"/>
    <w:rsid w:val="00EE45DC"/>
    <w:rsid w:val="00EE567A"/>
    <w:rsid w:val="00EE5D62"/>
    <w:rsid w:val="00EE68DE"/>
    <w:rsid w:val="00EE6A2A"/>
    <w:rsid w:val="00EE7C11"/>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0240"/>
    <w:rsid w:val="00F0140E"/>
    <w:rsid w:val="00F01817"/>
    <w:rsid w:val="00F031D3"/>
    <w:rsid w:val="00F03224"/>
    <w:rsid w:val="00F03C12"/>
    <w:rsid w:val="00F04B73"/>
    <w:rsid w:val="00F04CD9"/>
    <w:rsid w:val="00F0633B"/>
    <w:rsid w:val="00F06EC3"/>
    <w:rsid w:val="00F078F6"/>
    <w:rsid w:val="00F0799C"/>
    <w:rsid w:val="00F10DD6"/>
    <w:rsid w:val="00F1186A"/>
    <w:rsid w:val="00F11F0C"/>
    <w:rsid w:val="00F11FA3"/>
    <w:rsid w:val="00F12DB9"/>
    <w:rsid w:val="00F133AD"/>
    <w:rsid w:val="00F1373A"/>
    <w:rsid w:val="00F13A12"/>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4D25"/>
    <w:rsid w:val="00F25CCE"/>
    <w:rsid w:val="00F262D8"/>
    <w:rsid w:val="00F26385"/>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3A1B"/>
    <w:rsid w:val="00F64A78"/>
    <w:rsid w:val="00F663DF"/>
    <w:rsid w:val="00F667EB"/>
    <w:rsid w:val="00F702AD"/>
    <w:rsid w:val="00F7051A"/>
    <w:rsid w:val="00F7132D"/>
    <w:rsid w:val="00F71A92"/>
    <w:rsid w:val="00F7264F"/>
    <w:rsid w:val="00F7344C"/>
    <w:rsid w:val="00F7390F"/>
    <w:rsid w:val="00F7406D"/>
    <w:rsid w:val="00F741F9"/>
    <w:rsid w:val="00F74BD3"/>
    <w:rsid w:val="00F75B1A"/>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0FD8"/>
    <w:rsid w:val="00F91C74"/>
    <w:rsid w:val="00F91CFF"/>
    <w:rsid w:val="00F92174"/>
    <w:rsid w:val="00F92359"/>
    <w:rsid w:val="00F92988"/>
    <w:rsid w:val="00F953B6"/>
    <w:rsid w:val="00F9577C"/>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4B"/>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3C1E"/>
    <w:rsid w:val="00FC570B"/>
    <w:rsid w:val="00FC5AF4"/>
    <w:rsid w:val="00FC61B8"/>
    <w:rsid w:val="00FC6D49"/>
    <w:rsid w:val="00FC6D5F"/>
    <w:rsid w:val="00FC6F12"/>
    <w:rsid w:val="00FC755B"/>
    <w:rsid w:val="00FC7612"/>
    <w:rsid w:val="00FC7E97"/>
    <w:rsid w:val="00FC7F44"/>
    <w:rsid w:val="00FD293F"/>
    <w:rsid w:val="00FD2C4F"/>
    <w:rsid w:val="00FD5169"/>
    <w:rsid w:val="00FD7941"/>
    <w:rsid w:val="00FD7948"/>
    <w:rsid w:val="00FE02C6"/>
    <w:rsid w:val="00FE089D"/>
    <w:rsid w:val="00FE1721"/>
    <w:rsid w:val="00FE18D0"/>
    <w:rsid w:val="00FE1A14"/>
    <w:rsid w:val="00FE1F4E"/>
    <w:rsid w:val="00FE2404"/>
    <w:rsid w:val="00FE257E"/>
    <w:rsid w:val="00FE2C51"/>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7B74"/>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before="100" w:beforeAutospacing="1"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before="100" w:beforeAutospacing="1"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1Zchn">
    <w:name w:val="B1 Zchn"/>
    <w:qFormat/>
    <w:rsid w:val="009C7526"/>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16797103">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4</TotalTime>
  <Pages>7</Pages>
  <Words>2397</Words>
  <Characters>13663</Characters>
  <Application>Microsoft Office Word</Application>
  <DocSecurity>0</DocSecurity>
  <Lines>113</Lines>
  <Paragraphs>32</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16028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Jerry Cui</cp:lastModifiedBy>
  <cp:revision>9</cp:revision>
  <cp:lastPrinted>2016-08-05T18:54:00Z</cp:lastPrinted>
  <dcterms:created xsi:type="dcterms:W3CDTF">2023-04-07T17:32:00Z</dcterms:created>
  <dcterms:modified xsi:type="dcterms:W3CDTF">2023-04-10T17:29:00Z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